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8D" w:rsidRDefault="008400E7" w:rsidP="00D52622">
      <w:pPr>
        <w:jc w:val="center"/>
        <w:rPr>
          <w:b/>
        </w:rPr>
      </w:pPr>
      <w:r w:rsidRPr="008400E7">
        <w:rPr>
          <w:b/>
        </w:rPr>
        <w:t xml:space="preserve">Tópicos para incluir en la página web del ‘Fondo para la Transición </w:t>
      </w:r>
      <w:r w:rsidR="00F22248">
        <w:rPr>
          <w:b/>
        </w:rPr>
        <w:t>E</w:t>
      </w:r>
      <w:r w:rsidRPr="008400E7">
        <w:rPr>
          <w:b/>
        </w:rPr>
        <w:t>nergética y el Aprovechamiento Sustentable de la Energía’</w:t>
      </w:r>
    </w:p>
    <w:p w:rsidR="00A05891" w:rsidRDefault="000A161D" w:rsidP="00D52622">
      <w:r w:rsidRPr="000A161D">
        <w:t>Presentación general</w:t>
      </w:r>
      <w:r>
        <w:t>: Impulso al desarrollo de las energías renovables y la eficiencia energética.</w:t>
      </w:r>
    </w:p>
    <w:p w:rsidR="00385505" w:rsidRPr="000A161D" w:rsidRDefault="00385505" w:rsidP="00D52622"/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1526"/>
        <w:gridCol w:w="1559"/>
        <w:gridCol w:w="10631"/>
      </w:tblGrid>
      <w:tr w:rsidR="00A05891" w:rsidRPr="00A05891" w:rsidTr="00385505">
        <w:trPr>
          <w:trHeight w:val="561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5891" w:rsidRPr="00A05891" w:rsidRDefault="00A05891" w:rsidP="00D52622">
            <w:pPr>
              <w:spacing w:line="276" w:lineRule="auto"/>
              <w:jc w:val="center"/>
              <w:rPr>
                <w:b/>
              </w:rPr>
            </w:pPr>
            <w:r w:rsidRPr="00A05891">
              <w:rPr>
                <w:b/>
              </w:rPr>
              <w:t>Tema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5891" w:rsidRPr="00A05891" w:rsidRDefault="00A05891" w:rsidP="00D52622">
            <w:pPr>
              <w:spacing w:line="276" w:lineRule="auto"/>
              <w:jc w:val="center"/>
              <w:rPr>
                <w:b/>
              </w:rPr>
            </w:pPr>
            <w:r w:rsidRPr="00A05891">
              <w:rPr>
                <w:b/>
              </w:rPr>
              <w:t>Tópico</w:t>
            </w:r>
          </w:p>
        </w:tc>
        <w:tc>
          <w:tcPr>
            <w:tcW w:w="10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5891" w:rsidRPr="00A05891" w:rsidRDefault="00A05891" w:rsidP="00D526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</w:tr>
      <w:tr w:rsidR="00EC4BD1" w:rsidTr="00FA10B8"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4BD1" w:rsidRDefault="00EC4BD1" w:rsidP="002A309D">
            <w:pPr>
              <w:spacing w:line="276" w:lineRule="auto"/>
            </w:pPr>
            <w:r>
              <w:t>Acerca de</w:t>
            </w:r>
            <w:r w:rsidR="002A309D">
              <w:t>l</w:t>
            </w:r>
            <w:r>
              <w:t xml:space="preserve"> </w:t>
            </w:r>
            <w:r w:rsidR="002A309D">
              <w:t>F</w:t>
            </w:r>
            <w:r>
              <w:t>ondo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C4BD1" w:rsidRDefault="00EC4BD1" w:rsidP="00D52622">
            <w:pPr>
              <w:spacing w:line="276" w:lineRule="auto"/>
            </w:pPr>
            <w:r>
              <w:t>Antecedentes</w:t>
            </w:r>
          </w:p>
        </w:tc>
        <w:tc>
          <w:tcPr>
            <w:tcW w:w="106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6B76" w:rsidRDefault="00006B76" w:rsidP="00D52622">
            <w:pPr>
              <w:spacing w:line="276" w:lineRule="auto"/>
            </w:pPr>
          </w:p>
          <w:p w:rsidR="000A161D" w:rsidRDefault="0095340F" w:rsidP="00D52622">
            <w:pPr>
              <w:spacing w:line="276" w:lineRule="auto"/>
            </w:pPr>
            <w:r>
              <w:t>El</w:t>
            </w:r>
            <w:r w:rsidRPr="00491E3D">
              <w:t xml:space="preserve"> </w:t>
            </w:r>
            <w:r w:rsidRPr="001E3FCC">
              <w:t>Fondo para la Transición Energética y el Aprovecham</w:t>
            </w:r>
            <w:r>
              <w:t>iento Sustentable de la Energía (FOTEASE),</w:t>
            </w:r>
            <w:r w:rsidRPr="00491E3D">
              <w:t xml:space="preserve"> fue creado</w:t>
            </w:r>
            <w:r>
              <w:t xml:space="preserve"> según lo establecido en </w:t>
            </w:r>
            <w:r w:rsidR="00491E3D" w:rsidRPr="00491E3D">
              <w:t>el artículo 27 de la Ley para el Aprovechamiento de las Energías Renovables y el Financiamiento de la Transición Energética</w:t>
            </w:r>
            <w:r w:rsidR="00952FC7">
              <w:t xml:space="preserve"> </w:t>
            </w:r>
            <w:r w:rsidR="00C66AAD">
              <w:t xml:space="preserve">(LAERFTE) </w:t>
            </w:r>
            <w:r w:rsidR="00952FC7">
              <w:t>publicada en el Diario Oficial de la Federación</w:t>
            </w:r>
            <w:r w:rsidR="00C66AAD">
              <w:t xml:space="preserve"> (DOF)</w:t>
            </w:r>
            <w:r w:rsidR="00952FC7">
              <w:t xml:space="preserve"> el 28 de noviembre de 2008, con el propósito de potenciar el financiamiento disponible para la transición energética, el ahorro de energía, las tecnologías limpias y el aprovechamiento de las energías renovables, a través del otorgamiento de garantías de crédito u otro tipo de apoyos financieros para proyectos que cumplan con los objetivos de la Estrategia Nacional para la Transición Energética y el Aprovechamiento Sustentable de la Energía</w:t>
            </w:r>
            <w:r w:rsidR="00C66AAD">
              <w:t xml:space="preserve"> (ENTEASE)</w:t>
            </w:r>
            <w:r w:rsidR="00952FC7">
              <w:t>.</w:t>
            </w:r>
          </w:p>
          <w:p w:rsidR="00006B76" w:rsidRDefault="00006B76" w:rsidP="00D52622">
            <w:pPr>
              <w:spacing w:line="276" w:lineRule="auto"/>
            </w:pPr>
          </w:p>
        </w:tc>
      </w:tr>
      <w:tr w:rsidR="00EC4BD1" w:rsidTr="00FA10B8"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EC4BD1" w:rsidRDefault="00EC4BD1" w:rsidP="00D52622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EC4BD1" w:rsidRDefault="00EC4BD1" w:rsidP="00D52622">
            <w:pPr>
              <w:spacing w:line="276" w:lineRule="auto"/>
            </w:pPr>
            <w:r>
              <w:t>Fondo para la Transición</w:t>
            </w:r>
            <w:r w:rsidR="00F46CAD">
              <w:t xml:space="preserve"> Energética</w:t>
            </w:r>
          </w:p>
        </w:tc>
        <w:tc>
          <w:tcPr>
            <w:tcW w:w="10631" w:type="dxa"/>
            <w:tcBorders>
              <w:right w:val="double" w:sz="4" w:space="0" w:color="auto"/>
            </w:tcBorders>
            <w:vAlign w:val="center"/>
          </w:tcPr>
          <w:p w:rsidR="00006B76" w:rsidRDefault="00006B76" w:rsidP="00D52622">
            <w:pPr>
              <w:spacing w:line="276" w:lineRule="auto"/>
            </w:pPr>
          </w:p>
          <w:p w:rsidR="00491E3D" w:rsidRDefault="00F46CAD" w:rsidP="00D52622">
            <w:pPr>
              <w:spacing w:line="276" w:lineRule="auto"/>
            </w:pPr>
            <w:r>
              <w:t>Corresponde a l</w:t>
            </w:r>
            <w:r w:rsidR="00D26D90" w:rsidRPr="00D26D90">
              <w:t>a SENER</w:t>
            </w:r>
            <w:r>
              <w:t xml:space="preserve"> la</w:t>
            </w:r>
            <w:r w:rsidR="00D26D90" w:rsidRPr="00D26D90">
              <w:t xml:space="preserve"> administra</w:t>
            </w:r>
            <w:r>
              <w:t>ción</w:t>
            </w:r>
            <w:r w:rsidR="00D26D90" w:rsidRPr="00D26D90">
              <w:t xml:space="preserve"> </w:t>
            </w:r>
            <w:r>
              <w:t>d</w:t>
            </w:r>
            <w:r w:rsidR="00D26D90" w:rsidRPr="00D26D90">
              <w:t xml:space="preserve">el </w:t>
            </w:r>
            <w:r w:rsidR="00C66AAD">
              <w:t>FOTEASE</w:t>
            </w:r>
          </w:p>
          <w:p w:rsidR="00F46CAD" w:rsidRPr="001179BD" w:rsidRDefault="00F46CAD" w:rsidP="00D52622">
            <w:pPr>
              <w:spacing w:line="276" w:lineRule="auto"/>
            </w:pPr>
          </w:p>
          <w:p w:rsidR="000A161D" w:rsidRPr="00491E3D" w:rsidRDefault="001E3FCC" w:rsidP="00D52622">
            <w:pPr>
              <w:spacing w:line="276" w:lineRule="auto"/>
            </w:pPr>
            <w:r>
              <w:t>Sus d</w:t>
            </w:r>
            <w:r w:rsidR="000A161D" w:rsidRPr="00491E3D">
              <w:t xml:space="preserve">ocumentos </w:t>
            </w:r>
            <w:r>
              <w:t>r</w:t>
            </w:r>
            <w:r w:rsidR="000A161D" w:rsidRPr="00491E3D">
              <w:t>ectores</w:t>
            </w:r>
            <w:r>
              <w:t xml:space="preserve"> son</w:t>
            </w:r>
            <w:r w:rsidR="00491E3D">
              <w:t>:</w:t>
            </w:r>
          </w:p>
          <w:p w:rsidR="00491E3D" w:rsidRPr="00491E3D" w:rsidRDefault="00491E3D" w:rsidP="00D52622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7" w:hanging="283"/>
            </w:pPr>
            <w:r w:rsidRPr="00491E3D">
              <w:t>Ley para el Aprovechamiento de Energías Renovables y el Financiamiento de la Transición Energética.</w:t>
            </w:r>
          </w:p>
          <w:p w:rsidR="00491E3D" w:rsidRPr="00491E3D" w:rsidRDefault="00491E3D" w:rsidP="00D52622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7" w:hanging="283"/>
            </w:pPr>
            <w:r w:rsidRPr="00491E3D">
              <w:t>Ley de Adquisiciones, Arrendamientos y Servicios al Sector Público.</w:t>
            </w:r>
          </w:p>
          <w:p w:rsidR="00491E3D" w:rsidRPr="00491E3D" w:rsidRDefault="00491E3D" w:rsidP="00D52622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7" w:hanging="283"/>
            </w:pPr>
            <w:r w:rsidRPr="00491E3D">
              <w:t>Ley de Instituciones de Crédito</w:t>
            </w:r>
            <w:r w:rsidR="001E3FCC">
              <w:t>.</w:t>
            </w:r>
          </w:p>
          <w:p w:rsidR="00491E3D" w:rsidRPr="00491E3D" w:rsidRDefault="00491E3D" w:rsidP="00D52622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7" w:hanging="283"/>
            </w:pPr>
            <w:r w:rsidRPr="00491E3D">
              <w:t>Contrato del Fideicomiso 2145.</w:t>
            </w:r>
          </w:p>
          <w:p w:rsidR="00EC4BD1" w:rsidRDefault="00491E3D" w:rsidP="00D52622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7" w:hanging="283"/>
            </w:pPr>
            <w:r w:rsidRPr="00491E3D">
              <w:t>Reglas de Operación del Fondo</w:t>
            </w:r>
            <w:r w:rsidR="001E3FCC">
              <w:t>.</w:t>
            </w:r>
          </w:p>
          <w:p w:rsidR="00491E3D" w:rsidRDefault="00491E3D" w:rsidP="00D52622">
            <w:pPr>
              <w:spacing w:line="276" w:lineRule="auto"/>
            </w:pPr>
          </w:p>
          <w:p w:rsidR="00491E3D" w:rsidRDefault="00491E3D" w:rsidP="00D52622">
            <w:pPr>
              <w:spacing w:line="276" w:lineRule="auto"/>
            </w:pPr>
            <w:r w:rsidRPr="00491E3D">
              <w:t>El Fondo no es considerado entidad de la administración pública paraestatal</w:t>
            </w:r>
            <w:r w:rsidR="00952FC7">
              <w:t xml:space="preserve"> siendo el fiduciario el Banco Nacional de Obras y Servicios Públicos (BANOBRAS)</w:t>
            </w:r>
            <w:r w:rsidR="00F46CAD">
              <w:t>.</w:t>
            </w:r>
          </w:p>
          <w:p w:rsidR="00006B76" w:rsidRPr="00491E3D" w:rsidRDefault="00006B76" w:rsidP="00D52622">
            <w:pPr>
              <w:spacing w:line="276" w:lineRule="auto"/>
            </w:pPr>
          </w:p>
        </w:tc>
      </w:tr>
      <w:tr w:rsidR="00EC4BD1" w:rsidTr="00FA10B8"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EC4BD1" w:rsidRDefault="00EC4BD1" w:rsidP="00D52622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EC4BD1" w:rsidRDefault="00EC4BD1" w:rsidP="00D52622">
            <w:pPr>
              <w:spacing w:line="276" w:lineRule="auto"/>
            </w:pPr>
            <w:r>
              <w:t>Objetivos del Fondo</w:t>
            </w:r>
          </w:p>
        </w:tc>
        <w:tc>
          <w:tcPr>
            <w:tcW w:w="10631" w:type="dxa"/>
            <w:tcBorders>
              <w:right w:val="double" w:sz="4" w:space="0" w:color="auto"/>
            </w:tcBorders>
            <w:vAlign w:val="center"/>
          </w:tcPr>
          <w:p w:rsidR="00006B76" w:rsidRDefault="00006B76" w:rsidP="00D52622">
            <w:pPr>
              <w:spacing w:line="276" w:lineRule="auto"/>
            </w:pPr>
          </w:p>
          <w:p w:rsidR="00491E3D" w:rsidRDefault="00491E3D" w:rsidP="00D5262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83"/>
            </w:pPr>
            <w:r>
              <w:t>Uso y aplicación de tecnologías para el aprovechamiento de energías renovables;</w:t>
            </w:r>
          </w:p>
          <w:p w:rsidR="00491E3D" w:rsidRDefault="002A309D" w:rsidP="00D5262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83"/>
            </w:pPr>
            <w:r>
              <w:lastRenderedPageBreak/>
              <w:t xml:space="preserve">Fomento de la </w:t>
            </w:r>
            <w:r w:rsidR="00654592">
              <w:t>e</w:t>
            </w:r>
            <w:r w:rsidR="00491E3D">
              <w:t xml:space="preserve">ficiencia energética y </w:t>
            </w:r>
            <w:r>
              <w:t xml:space="preserve">el </w:t>
            </w:r>
            <w:r w:rsidR="00491E3D">
              <w:t>ahorro de energía;</w:t>
            </w:r>
          </w:p>
          <w:p w:rsidR="00491E3D" w:rsidRDefault="00491E3D" w:rsidP="00D5262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83"/>
            </w:pPr>
            <w:r>
              <w:t>Uso y aplicación de tecnologías limpias, y</w:t>
            </w:r>
          </w:p>
          <w:p w:rsidR="00EC4BD1" w:rsidRDefault="00491E3D" w:rsidP="00D5262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83"/>
            </w:pPr>
            <w:r>
              <w:t>Diversificación de fuentes de energía, en especial</w:t>
            </w:r>
            <w:r w:rsidR="002A309D">
              <w:t xml:space="preserve"> para transitar hacia</w:t>
            </w:r>
            <w:r>
              <w:t xml:space="preserve"> las renovables.</w:t>
            </w:r>
          </w:p>
          <w:p w:rsidR="00F22248" w:rsidRDefault="00F22248" w:rsidP="00D52622">
            <w:pPr>
              <w:spacing w:line="276" w:lineRule="auto"/>
              <w:ind w:left="34"/>
            </w:pPr>
          </w:p>
        </w:tc>
      </w:tr>
      <w:tr w:rsidR="00EC4BD1" w:rsidTr="00FA10B8"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EC4BD1" w:rsidRDefault="00EC4BD1" w:rsidP="00D52622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EC4BD1" w:rsidRDefault="00EC4BD1" w:rsidP="00D52622">
            <w:pPr>
              <w:spacing w:line="276" w:lineRule="auto"/>
            </w:pPr>
            <w:r>
              <w:t>Integración y operación</w:t>
            </w:r>
          </w:p>
        </w:tc>
        <w:tc>
          <w:tcPr>
            <w:tcW w:w="10631" w:type="dxa"/>
            <w:tcBorders>
              <w:right w:val="double" w:sz="4" w:space="0" w:color="auto"/>
            </w:tcBorders>
            <w:vAlign w:val="center"/>
          </w:tcPr>
          <w:p w:rsidR="00EC4BD1" w:rsidRDefault="001A1116" w:rsidP="00D52622">
            <w:pPr>
              <w:spacing w:line="276" w:lineRule="auto"/>
            </w:pPr>
            <w:r w:rsidRPr="00491E3D"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4D7C2972" wp14:editId="2F4EDD3F">
                  <wp:simplePos x="0" y="0"/>
                  <wp:positionH relativeFrom="column">
                    <wp:posOffset>-2164080</wp:posOffset>
                  </wp:positionH>
                  <wp:positionV relativeFrom="paragraph">
                    <wp:posOffset>-1905635</wp:posOffset>
                  </wp:positionV>
                  <wp:extent cx="2114550" cy="1963420"/>
                  <wp:effectExtent l="0" t="19050" r="0" b="74930"/>
                  <wp:wrapSquare wrapText="bothSides"/>
                  <wp:docPr id="1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592">
              <w:t>El Fondo cuenta con un Comité T</w:t>
            </w:r>
            <w:r w:rsidR="000A161D">
              <w:t>écnico integrado por representantes de las Secretarías de Energía</w:t>
            </w:r>
            <w:r w:rsidR="00654592">
              <w:t xml:space="preserve"> (SENER)</w:t>
            </w:r>
            <w:r w:rsidR="000A161D">
              <w:t>, quien lo preside</w:t>
            </w:r>
            <w:r w:rsidR="003E3370">
              <w:t>;</w:t>
            </w:r>
            <w:r w:rsidR="000A161D">
              <w:t xml:space="preserve"> de Hacienda y Crédito Público</w:t>
            </w:r>
            <w:r w:rsidR="00C66AAD">
              <w:t xml:space="preserve"> (SHCP)</w:t>
            </w:r>
            <w:r w:rsidR="003E3370">
              <w:t>;</w:t>
            </w:r>
            <w:r w:rsidR="000A161D">
              <w:t xml:space="preserve"> de Agricultura, Ganadería, Desarrollo Rural, Pesca y Alimentación</w:t>
            </w:r>
            <w:r w:rsidR="00C66AAD">
              <w:t xml:space="preserve"> (SAGARPA)</w:t>
            </w:r>
            <w:r w:rsidR="003E3370">
              <w:t>;</w:t>
            </w:r>
            <w:r w:rsidR="000A161D">
              <w:t xml:space="preserve"> de Medio Ambiente y Recursos Naturales</w:t>
            </w:r>
            <w:r w:rsidR="00C66AAD">
              <w:t xml:space="preserve"> (SEMARNAT)</w:t>
            </w:r>
            <w:r w:rsidR="003E3370">
              <w:t>;</w:t>
            </w:r>
            <w:r w:rsidR="000A161D">
              <w:t xml:space="preserve"> de la Comisión Federal de Electricidad</w:t>
            </w:r>
            <w:r w:rsidR="00C66AAD">
              <w:t xml:space="preserve"> (CFE)</w:t>
            </w:r>
            <w:r w:rsidR="003E3370">
              <w:t>;</w:t>
            </w:r>
            <w:r w:rsidR="000A161D">
              <w:t xml:space="preserve"> del Instituto Mexicano del Petróleo</w:t>
            </w:r>
            <w:r w:rsidR="00C66AAD">
              <w:t xml:space="preserve"> (IMP)</w:t>
            </w:r>
            <w:r w:rsidR="003E3370">
              <w:t>;</w:t>
            </w:r>
            <w:r w:rsidR="000A161D">
              <w:t xml:space="preserve"> del Instituto de Investigaciones Eléctricas</w:t>
            </w:r>
            <w:r w:rsidR="00C66AAD">
              <w:t xml:space="preserve"> (IIE)</w:t>
            </w:r>
            <w:r w:rsidR="000A161D">
              <w:t xml:space="preserve"> y del Consejo Nacional de Ciencia y Tecnología</w:t>
            </w:r>
            <w:r w:rsidR="00C66AAD">
              <w:t xml:space="preserve"> (CONACYT)</w:t>
            </w:r>
            <w:r w:rsidR="000A161D">
              <w:t>.</w:t>
            </w:r>
          </w:p>
          <w:p w:rsidR="000A161D" w:rsidRDefault="000A161D" w:rsidP="00D52622">
            <w:pPr>
              <w:spacing w:line="276" w:lineRule="auto"/>
            </w:pPr>
          </w:p>
          <w:p w:rsidR="000A161D" w:rsidRDefault="000A161D" w:rsidP="00D52622">
            <w:pPr>
              <w:spacing w:line="276" w:lineRule="auto"/>
            </w:pPr>
            <w:r>
              <w:t xml:space="preserve">Dicho Comité es el encargado de emitir reglas para la administración, asignación y distribución de los recursos en el Fondo, con el fin de promover los objetivos de la Estrategia Nacional para la Transición Energética y </w:t>
            </w:r>
            <w:r w:rsidR="002A309D">
              <w:t xml:space="preserve">el </w:t>
            </w:r>
            <w:r w:rsidR="00FA10B8">
              <w:t>A</w:t>
            </w:r>
            <w:r>
              <w:t>provechamiento Sustentable de la Energía.</w:t>
            </w:r>
            <w:r w:rsidR="003A504C">
              <w:t xml:space="preserve"> Así mismo</w:t>
            </w:r>
            <w:r w:rsidR="002A309D">
              <w:t>,</w:t>
            </w:r>
            <w:r w:rsidR="003A504C">
              <w:t xml:space="preserve"> </w:t>
            </w:r>
            <w:r w:rsidR="002A309D">
              <w:t>es el responsable</w:t>
            </w:r>
            <w:r w:rsidR="003A504C">
              <w:t xml:space="preserve"> de la aprobación de proyectos y otros acuerdos que tengan relevancia en su administración, operación y control.</w:t>
            </w:r>
          </w:p>
          <w:p w:rsidR="00F22248" w:rsidRDefault="00F22248" w:rsidP="00D52622">
            <w:pPr>
              <w:spacing w:line="276" w:lineRule="auto"/>
            </w:pPr>
          </w:p>
        </w:tc>
      </w:tr>
      <w:tr w:rsidR="00EC4BD1" w:rsidTr="00FA10B8">
        <w:tc>
          <w:tcPr>
            <w:tcW w:w="1526" w:type="dxa"/>
            <w:vMerge w:val="restart"/>
            <w:tcBorders>
              <w:left w:val="double" w:sz="4" w:space="0" w:color="auto"/>
            </w:tcBorders>
            <w:vAlign w:val="center"/>
          </w:tcPr>
          <w:p w:rsidR="00EC4BD1" w:rsidRDefault="00EC4BD1" w:rsidP="00D52622">
            <w:pPr>
              <w:spacing w:line="276" w:lineRule="auto"/>
            </w:pPr>
            <w:r>
              <w:t>Información relevante</w:t>
            </w:r>
          </w:p>
        </w:tc>
        <w:tc>
          <w:tcPr>
            <w:tcW w:w="1559" w:type="dxa"/>
            <w:vAlign w:val="center"/>
          </w:tcPr>
          <w:p w:rsidR="00EC4BD1" w:rsidRDefault="00EC4BD1" w:rsidP="00D52622">
            <w:pPr>
              <w:spacing w:line="276" w:lineRule="auto"/>
            </w:pPr>
            <w:r>
              <w:t>Logros del Fondo</w:t>
            </w:r>
          </w:p>
        </w:tc>
        <w:tc>
          <w:tcPr>
            <w:tcW w:w="10631" w:type="dxa"/>
            <w:tcBorders>
              <w:right w:val="double" w:sz="4" w:space="0" w:color="auto"/>
            </w:tcBorders>
            <w:vAlign w:val="center"/>
          </w:tcPr>
          <w:p w:rsidR="003B5F11" w:rsidRDefault="003B5F11" w:rsidP="00D52622">
            <w:pPr>
              <w:spacing w:line="276" w:lineRule="auto"/>
            </w:pPr>
          </w:p>
          <w:p w:rsidR="00D5209F" w:rsidRDefault="00244A6F" w:rsidP="00D52622">
            <w:pPr>
              <w:spacing w:line="276" w:lineRule="auto"/>
            </w:pPr>
            <w:r w:rsidRPr="006C57AE"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2B135C31" wp14:editId="20C493AD">
                  <wp:simplePos x="0" y="0"/>
                  <wp:positionH relativeFrom="column">
                    <wp:posOffset>3740150</wp:posOffset>
                  </wp:positionH>
                  <wp:positionV relativeFrom="paragraph">
                    <wp:posOffset>54610</wp:posOffset>
                  </wp:positionV>
                  <wp:extent cx="2832100" cy="1701800"/>
                  <wp:effectExtent l="38100" t="0" r="44450" b="0"/>
                  <wp:wrapTight wrapText="bothSides">
                    <wp:wrapPolygon edited="0">
                      <wp:start x="-291" y="0"/>
                      <wp:lineTo x="-291" y="21278"/>
                      <wp:lineTo x="21794" y="21278"/>
                      <wp:lineTo x="21794" y="0"/>
                      <wp:lineTo x="-291" y="0"/>
                    </wp:wrapPolygon>
                  </wp:wrapTight>
                  <wp:docPr id="2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09F" w:rsidRDefault="006C57AE" w:rsidP="00D52622">
            <w:pPr>
              <w:spacing w:line="276" w:lineRule="auto"/>
            </w:pPr>
            <w:r>
              <w:t>El Fondo ha apoyado 24 proyectos con</w:t>
            </w:r>
            <w:r w:rsidR="003E3370">
              <w:t xml:space="preserve"> un monto superior a los $7,500 millones de pesos, </w:t>
            </w:r>
            <w:r>
              <w:t xml:space="preserve"> </w:t>
            </w:r>
            <w:r w:rsidR="00244A6F">
              <w:t>lográndose la siguiente distribución temática según las metas alcanzadas.</w:t>
            </w:r>
          </w:p>
          <w:p w:rsidR="00D5209F" w:rsidRDefault="00D5209F" w:rsidP="00D52622">
            <w:pPr>
              <w:spacing w:line="276" w:lineRule="auto"/>
            </w:pPr>
          </w:p>
          <w:p w:rsidR="00D5209F" w:rsidRDefault="00D5209F" w:rsidP="00D52622">
            <w:pPr>
              <w:spacing w:line="276" w:lineRule="auto"/>
            </w:pPr>
          </w:p>
          <w:p w:rsidR="008A765E" w:rsidRDefault="008A765E" w:rsidP="00D52622">
            <w:pPr>
              <w:spacing w:line="276" w:lineRule="auto"/>
            </w:pPr>
          </w:p>
          <w:p w:rsidR="008A765E" w:rsidRDefault="008A765E" w:rsidP="00D52622">
            <w:pPr>
              <w:spacing w:line="276" w:lineRule="auto"/>
            </w:pPr>
          </w:p>
          <w:p w:rsidR="008A765E" w:rsidRDefault="008A765E" w:rsidP="00D52622">
            <w:pPr>
              <w:spacing w:line="276" w:lineRule="auto"/>
            </w:pPr>
          </w:p>
          <w:p w:rsidR="008A765E" w:rsidRDefault="008A765E" w:rsidP="00D52622">
            <w:pPr>
              <w:spacing w:line="276" w:lineRule="auto"/>
            </w:pPr>
          </w:p>
          <w:p w:rsidR="008A765E" w:rsidRDefault="00654592" w:rsidP="00D52622">
            <w:pPr>
              <w:spacing w:line="276" w:lineRule="auto"/>
            </w:pPr>
            <w:r>
              <w:t xml:space="preserve">Los </w:t>
            </w:r>
            <w:r w:rsidR="008A765E">
              <w:t xml:space="preserve">apoyos </w:t>
            </w:r>
            <w:r>
              <w:t xml:space="preserve">otorgados </w:t>
            </w:r>
            <w:r w:rsidR="008A765E">
              <w:t>a las diferentes entidades que han participado en el Fondo se distribuyen de la siguiente manera:</w:t>
            </w:r>
          </w:p>
          <w:p w:rsidR="008A765E" w:rsidRDefault="008A765E" w:rsidP="00D52622">
            <w:pPr>
              <w:spacing w:line="276" w:lineRule="auto"/>
            </w:pPr>
          </w:p>
          <w:p w:rsidR="008A765E" w:rsidRDefault="008A765E" w:rsidP="00D52622">
            <w:pPr>
              <w:spacing w:line="276" w:lineRule="auto"/>
            </w:pPr>
          </w:p>
          <w:p w:rsidR="008A765E" w:rsidRDefault="008A765E" w:rsidP="00D52622">
            <w:pPr>
              <w:spacing w:line="276" w:lineRule="auto"/>
            </w:pPr>
          </w:p>
          <w:p w:rsidR="008A765E" w:rsidRDefault="008A765E" w:rsidP="00D52622">
            <w:pPr>
              <w:spacing w:line="276" w:lineRule="auto"/>
            </w:pPr>
          </w:p>
          <w:tbl>
            <w:tblPr>
              <w:tblW w:w="691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822"/>
              <w:gridCol w:w="1678"/>
              <w:gridCol w:w="1091"/>
            </w:tblGrid>
            <w:tr w:rsidR="008A765E" w:rsidRPr="00E62A6E" w:rsidTr="00654592">
              <w:trPr>
                <w:trHeight w:val="472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44062"/>
                  <w:noWrap/>
                  <w:vAlign w:val="center"/>
                  <w:hideMark/>
                </w:tcPr>
                <w:p w:rsidR="008A765E" w:rsidRPr="00E62A6E" w:rsidRDefault="008A765E" w:rsidP="00DA4A61">
                  <w:pPr>
                    <w:jc w:val="center"/>
                    <w:rPr>
                      <w:rFonts w:ascii="Calibri" w:hAnsi="Calibri" w:cs="Calibri"/>
                      <w:color w:val="FFFFFF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FFFFFF"/>
                      <w:sz w:val="18"/>
                      <w:szCs w:val="18"/>
                      <w:lang w:eastAsia="es-MX"/>
                    </w:rPr>
                    <w:t>#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44062"/>
                  <w:noWrap/>
                  <w:vAlign w:val="center"/>
                  <w:hideMark/>
                </w:tcPr>
                <w:p w:rsidR="008A765E" w:rsidRPr="00E62A6E" w:rsidRDefault="008A765E" w:rsidP="00DA4A61">
                  <w:pPr>
                    <w:jc w:val="center"/>
                    <w:rPr>
                      <w:rFonts w:ascii="Calibri" w:hAnsi="Calibri" w:cs="Calibri"/>
                      <w:color w:val="FFFFFF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FFFFFF"/>
                      <w:sz w:val="18"/>
                      <w:szCs w:val="18"/>
                      <w:lang w:eastAsia="es-MX"/>
                    </w:rPr>
                    <w:t>Beneficiario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44062"/>
                  <w:noWrap/>
                  <w:vAlign w:val="center"/>
                  <w:hideMark/>
                </w:tcPr>
                <w:p w:rsidR="008A765E" w:rsidRPr="00E62A6E" w:rsidRDefault="008A765E" w:rsidP="00DA4A61">
                  <w:pPr>
                    <w:jc w:val="center"/>
                    <w:rPr>
                      <w:rFonts w:ascii="Calibri" w:hAnsi="Calibri" w:cs="Calibri"/>
                      <w:color w:val="FFFFFF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FFFFFF"/>
                      <w:sz w:val="18"/>
                      <w:szCs w:val="18"/>
                      <w:lang w:eastAsia="es-MX"/>
                    </w:rPr>
                    <w:t>Monto autorizado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44062"/>
                  <w:vAlign w:val="center"/>
                </w:tcPr>
                <w:p w:rsidR="008A765E" w:rsidRPr="00E62A6E" w:rsidRDefault="008A765E" w:rsidP="00DA4A61">
                  <w:pPr>
                    <w:jc w:val="center"/>
                    <w:rPr>
                      <w:rFonts w:ascii="Calibri" w:hAnsi="Calibri" w:cs="Calibri"/>
                      <w:color w:val="FFFFFF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  <w:lang w:eastAsia="es-MX"/>
                    </w:rPr>
                    <w:t>% de participación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1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3E3370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Asociación Mexicana de Energía Eólica </w:t>
                  </w:r>
                  <w:r w:rsidR="0065459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(</w:t>
                  </w:r>
                  <w:r w:rsidR="008A765E"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AMDEE</w:t>
                  </w:r>
                  <w:r w:rsidR="0065459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14,610,000.00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0.19%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2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Asociación Mexicana de Energía Hidroeléctrica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1,100,000.00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0.01%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3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C66AAD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Comisión Federal de Electricidad (</w:t>
                  </w:r>
                  <w:r w:rsidR="008A765E"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CFE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50,000,000.00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0.67%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4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C66AAD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Comisión Nacional para el Uso Eficiente de la Energía (</w:t>
                  </w:r>
                  <w:r w:rsidR="008A765E"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CONUEE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120,000,000.00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1.60%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C66AAD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Comisión Reguladora de Energía (</w:t>
                  </w:r>
                  <w:r w:rsidR="008A765E"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CRE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15,283,116.00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0.20%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6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EcoFilm</w:t>
                  </w:r>
                  <w:proofErr w:type="spellEnd"/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, Hombre Naturaleza, A.C.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4,176,112.00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0.06%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7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C66AAD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Fideicomiso para el Ahorro de Energía Eléctrica (</w:t>
                  </w:r>
                  <w:r w:rsidR="008A765E"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FIDE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5,517,879,594.50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73.53%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8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Financiera Rural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100,000,000.00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1.33%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9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C66AAD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(</w:t>
                  </w:r>
                  <w:r w:rsidRPr="00C66AA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Fideicomisos Instituidos con Relación a la Agricultura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) </w:t>
                  </w:r>
                  <w:r w:rsidR="008A765E"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FIRA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200,000,000.00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2.67%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10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C66AAD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C66AA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Fideicomiso de Riesgo Compartido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(</w:t>
                  </w:r>
                  <w:proofErr w:type="spellStart"/>
                  <w:r w:rsidR="008A765E"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Firco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450,930,372.75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6.01%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11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C66AAD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C66AA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Fondo de Capitalización e Inversión del Sector Rural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(</w:t>
                  </w:r>
                  <w:proofErr w:type="spellStart"/>
                  <w:r w:rsidR="008A765E"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Focir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200,000,000.00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2.67%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12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C66AAD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Fondo Mexicano de Carbono (</w:t>
                  </w:r>
                  <w:r w:rsidR="008A765E"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FOMECAR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1,750,000.00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0.02%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13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Fondo Sectorial </w:t>
                  </w:r>
                  <w:proofErr w:type="spellStart"/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Sagarpa-Conacyt</w:t>
                  </w:r>
                  <w:proofErr w:type="spellEnd"/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146,469,351.80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1.95%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14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Fundación Televisa, A.C.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1,750,000.00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0.02%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15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C66AAD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Instituto de Investigaciones Eléctricas (</w:t>
                  </w:r>
                  <w:r w:rsidR="008A765E"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IIE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462,586.14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0.01%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16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ILUMEXICO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5,800,000.00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0.08%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17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8A16AD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A16AD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Instituto para el Desarrollo Urbano y de la Vivienda en Baja California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(</w:t>
                  </w:r>
                  <w:r w:rsidR="008A765E"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INDIVI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16,800,000.00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0.22%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18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A765E" w:rsidRPr="00E62A6E" w:rsidRDefault="00C66AAD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Nacional Financiera (</w:t>
                  </w:r>
                  <w:r w:rsidR="008A765E"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NAFIN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150,000,000.00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2.00%</w:t>
                  </w:r>
                </w:p>
              </w:tc>
            </w:tr>
            <w:tr w:rsidR="008A765E" w:rsidRPr="00E62A6E" w:rsidTr="00654592">
              <w:trPr>
                <w:trHeight w:val="30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8A765E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19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8A765E" w:rsidRPr="00E62A6E" w:rsidRDefault="008A16AD" w:rsidP="008A765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Secretaría de Energía (</w:t>
                  </w:r>
                  <w:r w:rsidR="008A765E"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SENER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)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bottom"/>
                  <w:hideMark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E62A6E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 xml:space="preserve"> 506,798,502.67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vAlign w:val="center"/>
                </w:tcPr>
                <w:p w:rsidR="008A765E" w:rsidRPr="00E62A6E" w:rsidRDefault="008A765E" w:rsidP="00DA4A61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802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s-MX"/>
                    </w:rPr>
                    <w:t>6.75%</w:t>
                  </w:r>
                </w:p>
              </w:tc>
            </w:tr>
          </w:tbl>
          <w:p w:rsidR="008A765E" w:rsidRDefault="008A765E" w:rsidP="00D52622">
            <w:pPr>
              <w:spacing w:line="276" w:lineRule="auto"/>
            </w:pPr>
          </w:p>
          <w:p w:rsidR="008A765E" w:rsidRDefault="008A765E" w:rsidP="00D52622">
            <w:pPr>
              <w:spacing w:line="276" w:lineRule="auto"/>
            </w:pPr>
          </w:p>
          <w:p w:rsidR="008A765E" w:rsidRDefault="008A765E" w:rsidP="00D52622">
            <w:pPr>
              <w:spacing w:line="276" w:lineRule="auto"/>
            </w:pPr>
          </w:p>
          <w:p w:rsidR="008A765E" w:rsidRDefault="008A765E" w:rsidP="00D52622">
            <w:pPr>
              <w:spacing w:line="276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322EA9CB">
                  <wp:extent cx="5384800" cy="3004301"/>
                  <wp:effectExtent l="0" t="0" r="6350" b="571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079" cy="3010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765E" w:rsidRDefault="008A765E" w:rsidP="00D52622">
            <w:pPr>
              <w:spacing w:line="276" w:lineRule="auto"/>
            </w:pPr>
          </w:p>
          <w:p w:rsidR="008A765E" w:rsidRDefault="008A765E" w:rsidP="00247B96"/>
        </w:tc>
      </w:tr>
      <w:tr w:rsidR="00EC4BD1" w:rsidTr="00FA10B8"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EC4BD1" w:rsidRDefault="00EC4BD1" w:rsidP="00D52622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EC4BD1" w:rsidRDefault="00EC4BD1" w:rsidP="00D52622">
            <w:pPr>
              <w:spacing w:line="276" w:lineRule="auto"/>
            </w:pPr>
            <w:r>
              <w:t>Patrimonio</w:t>
            </w:r>
          </w:p>
        </w:tc>
        <w:tc>
          <w:tcPr>
            <w:tcW w:w="10631" w:type="dxa"/>
            <w:tcBorders>
              <w:right w:val="double" w:sz="4" w:space="0" w:color="auto"/>
            </w:tcBorders>
            <w:vAlign w:val="center"/>
          </w:tcPr>
          <w:p w:rsidR="00F22248" w:rsidRDefault="00F22248" w:rsidP="00D52622">
            <w:pPr>
              <w:spacing w:line="276" w:lineRule="auto"/>
            </w:pPr>
          </w:p>
          <w:p w:rsidR="007F19B1" w:rsidRDefault="00CD5667" w:rsidP="00D52622">
            <w:pPr>
              <w:spacing w:line="276" w:lineRule="auto"/>
            </w:pPr>
            <w:r>
              <w:t>La siguiente tabla muestra el estado financiero reportado por el fiduciario</w:t>
            </w:r>
          </w:p>
          <w:p w:rsidR="00CD5667" w:rsidRDefault="00CD5667" w:rsidP="00D52622">
            <w:pPr>
              <w:spacing w:line="276" w:lineRule="auto"/>
            </w:pPr>
          </w:p>
          <w:p w:rsidR="00CD5667" w:rsidRDefault="00CD5667" w:rsidP="00D52622">
            <w:pPr>
              <w:spacing w:line="276" w:lineRule="aut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52"/>
              <w:gridCol w:w="1217"/>
              <w:gridCol w:w="1358"/>
            </w:tblGrid>
            <w:tr w:rsidR="009304B7" w:rsidRPr="007F19B1" w:rsidTr="009304B7">
              <w:trPr>
                <w:trHeight w:val="311"/>
              </w:trPr>
              <w:tc>
                <w:tcPr>
                  <w:tcW w:w="3352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304B7" w:rsidRPr="007F19B1" w:rsidRDefault="009304B7" w:rsidP="007F19B1">
                  <w:pPr>
                    <w:jc w:val="center"/>
                    <w:rPr>
                      <w:b/>
                    </w:rPr>
                  </w:pPr>
                  <w:r w:rsidRPr="007F19B1">
                    <w:rPr>
                      <w:b/>
                    </w:rPr>
                    <w:t>Concepto</w:t>
                  </w:r>
                </w:p>
              </w:tc>
              <w:tc>
                <w:tcPr>
                  <w:tcW w:w="121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304B7" w:rsidRPr="007F19B1" w:rsidRDefault="00CD5667" w:rsidP="00CD56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 cuenta</w:t>
                  </w:r>
                </w:p>
              </w:tc>
              <w:tc>
                <w:tcPr>
                  <w:tcW w:w="121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304B7" w:rsidRPr="007F19B1" w:rsidRDefault="00CD5667" w:rsidP="00CD56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Aplicaciones</w:t>
                  </w:r>
                </w:p>
              </w:tc>
            </w:tr>
            <w:tr w:rsidR="009304B7" w:rsidTr="009304B7">
              <w:trPr>
                <w:trHeight w:val="330"/>
              </w:trPr>
              <w:tc>
                <w:tcPr>
                  <w:tcW w:w="3352" w:type="dxa"/>
                  <w:tcBorders>
                    <w:top w:val="double" w:sz="4" w:space="0" w:color="auto"/>
                  </w:tcBorders>
                </w:tcPr>
                <w:p w:rsidR="009304B7" w:rsidRDefault="009304B7" w:rsidP="00D52622">
                  <w:r>
                    <w:t>Patrimonio</w:t>
                  </w:r>
                </w:p>
              </w:tc>
              <w:tc>
                <w:tcPr>
                  <w:tcW w:w="1217" w:type="dxa"/>
                  <w:tcBorders>
                    <w:top w:val="double" w:sz="4" w:space="0" w:color="auto"/>
                  </w:tcBorders>
                </w:tcPr>
                <w:p w:rsidR="009304B7" w:rsidRDefault="009304B7" w:rsidP="00F059B0">
                  <w:pPr>
                    <w:jc w:val="right"/>
                  </w:pPr>
                  <w:r>
                    <w:t>$7,586.70</w:t>
                  </w:r>
                </w:p>
              </w:tc>
              <w:tc>
                <w:tcPr>
                  <w:tcW w:w="1217" w:type="dxa"/>
                  <w:tcBorders>
                    <w:top w:val="double" w:sz="4" w:space="0" w:color="auto"/>
                  </w:tcBorders>
                </w:tcPr>
                <w:p w:rsidR="009304B7" w:rsidRDefault="009304B7" w:rsidP="0080168A">
                  <w:pPr>
                    <w:jc w:val="right"/>
                  </w:pPr>
                </w:p>
              </w:tc>
            </w:tr>
            <w:tr w:rsidR="009304B7" w:rsidTr="009304B7">
              <w:trPr>
                <w:trHeight w:val="330"/>
              </w:trPr>
              <w:tc>
                <w:tcPr>
                  <w:tcW w:w="3352" w:type="dxa"/>
                </w:tcPr>
                <w:p w:rsidR="009304B7" w:rsidRDefault="009304B7" w:rsidP="005F12F6">
                  <w:r>
                    <w:t>Apoyos autorizados 2009-2014</w:t>
                  </w:r>
                </w:p>
              </w:tc>
              <w:tc>
                <w:tcPr>
                  <w:tcW w:w="1217" w:type="dxa"/>
                </w:tcPr>
                <w:p w:rsidR="009304B7" w:rsidRDefault="009304B7" w:rsidP="007A5F75">
                  <w:pPr>
                    <w:jc w:val="right"/>
                  </w:pPr>
                </w:p>
              </w:tc>
              <w:tc>
                <w:tcPr>
                  <w:tcW w:w="1217" w:type="dxa"/>
                </w:tcPr>
                <w:p w:rsidR="009304B7" w:rsidRDefault="009304B7" w:rsidP="00F059B0">
                  <w:pPr>
                    <w:jc w:val="right"/>
                  </w:pPr>
                  <w:r>
                    <w:t>$</w:t>
                  </w:r>
                  <w:r>
                    <w:t>6,713.52</w:t>
                  </w:r>
                </w:p>
              </w:tc>
            </w:tr>
            <w:tr w:rsidR="009304B7" w:rsidTr="009304B7">
              <w:trPr>
                <w:trHeight w:val="330"/>
              </w:trPr>
              <w:tc>
                <w:tcPr>
                  <w:tcW w:w="3352" w:type="dxa"/>
                </w:tcPr>
                <w:p w:rsidR="009304B7" w:rsidRDefault="009304B7" w:rsidP="00D52622">
                  <w:r>
                    <w:t>Honorarios fiduciarios</w:t>
                  </w:r>
                </w:p>
              </w:tc>
              <w:tc>
                <w:tcPr>
                  <w:tcW w:w="1217" w:type="dxa"/>
                </w:tcPr>
                <w:p w:rsidR="009304B7" w:rsidRDefault="009304B7" w:rsidP="007A5F75">
                  <w:pPr>
                    <w:jc w:val="right"/>
                  </w:pPr>
                </w:p>
              </w:tc>
              <w:tc>
                <w:tcPr>
                  <w:tcW w:w="1217" w:type="dxa"/>
                </w:tcPr>
                <w:p w:rsidR="009304B7" w:rsidRDefault="009304B7" w:rsidP="009304B7">
                  <w:pPr>
                    <w:jc w:val="right"/>
                  </w:pPr>
                  <w:r>
                    <w:t>$</w:t>
                  </w:r>
                  <w:r>
                    <w:t>1</w:t>
                  </w:r>
                  <w:r>
                    <w:t>8.</w:t>
                  </w:r>
                  <w:r>
                    <w:t>54</w:t>
                  </w:r>
                </w:p>
              </w:tc>
            </w:tr>
            <w:tr w:rsidR="009304B7" w:rsidTr="009304B7">
              <w:trPr>
                <w:trHeight w:val="330"/>
              </w:trPr>
              <w:tc>
                <w:tcPr>
                  <w:tcW w:w="3352" w:type="dxa"/>
                  <w:tcBorders>
                    <w:bottom w:val="single" w:sz="4" w:space="0" w:color="auto"/>
                  </w:tcBorders>
                </w:tcPr>
                <w:p w:rsidR="009304B7" w:rsidRDefault="009304B7" w:rsidP="00D52622">
                  <w:r>
                    <w:t>Reintegros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</w:tcPr>
                <w:p w:rsidR="009304B7" w:rsidRDefault="009304B7" w:rsidP="007A5F75">
                  <w:pPr>
                    <w:jc w:val="right"/>
                  </w:pPr>
                  <w:r>
                    <w:t>$50.40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</w:tcPr>
                <w:p w:rsidR="009304B7" w:rsidRDefault="009304B7" w:rsidP="0080168A">
                  <w:pPr>
                    <w:jc w:val="right"/>
                  </w:pPr>
                </w:p>
              </w:tc>
            </w:tr>
            <w:tr w:rsidR="009304B7" w:rsidTr="009304B7">
              <w:trPr>
                <w:trHeight w:val="330"/>
              </w:trPr>
              <w:tc>
                <w:tcPr>
                  <w:tcW w:w="3352" w:type="dxa"/>
                  <w:tcBorders>
                    <w:bottom w:val="double" w:sz="4" w:space="0" w:color="auto"/>
                  </w:tcBorders>
                </w:tcPr>
                <w:p w:rsidR="009304B7" w:rsidRDefault="00CD5667" w:rsidP="00430A76">
                  <w:r>
                    <w:t>Inversiones en cuenta</w:t>
                  </w:r>
                </w:p>
              </w:tc>
              <w:tc>
                <w:tcPr>
                  <w:tcW w:w="1217" w:type="dxa"/>
                  <w:tcBorders>
                    <w:bottom w:val="double" w:sz="4" w:space="0" w:color="auto"/>
                  </w:tcBorders>
                </w:tcPr>
                <w:p w:rsidR="009304B7" w:rsidRDefault="009304B7" w:rsidP="007F19B1">
                  <w:pPr>
                    <w:jc w:val="right"/>
                  </w:pPr>
                  <w:r>
                    <w:t>$873,187</w:t>
                  </w:r>
                </w:p>
              </w:tc>
              <w:tc>
                <w:tcPr>
                  <w:tcW w:w="1217" w:type="dxa"/>
                  <w:tcBorders>
                    <w:bottom w:val="double" w:sz="4" w:space="0" w:color="auto"/>
                  </w:tcBorders>
                </w:tcPr>
                <w:p w:rsidR="009304B7" w:rsidRDefault="009304B7" w:rsidP="0080168A">
                  <w:pPr>
                    <w:jc w:val="right"/>
                  </w:pPr>
                </w:p>
              </w:tc>
            </w:tr>
          </w:tbl>
          <w:p w:rsidR="008038E8" w:rsidRDefault="00035F24" w:rsidP="00F059B0">
            <w:pPr>
              <w:spacing w:line="276" w:lineRule="auto"/>
            </w:pPr>
            <w:r>
              <w:t xml:space="preserve">Cifras </w:t>
            </w:r>
            <w:bookmarkStart w:id="0" w:name="_GoBack"/>
            <w:bookmarkEnd w:id="0"/>
            <w:r w:rsidR="007F19B1">
              <w:t>en millones de pesos</w:t>
            </w:r>
          </w:p>
          <w:p w:rsidR="003B5F11" w:rsidRDefault="003B5F11" w:rsidP="00D52622">
            <w:pPr>
              <w:spacing w:line="276" w:lineRule="auto"/>
            </w:pPr>
          </w:p>
        </w:tc>
      </w:tr>
      <w:tr w:rsidR="00EC4BD1" w:rsidTr="00FA10B8"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EC4BD1" w:rsidRDefault="00EC4BD1" w:rsidP="00D52622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EC4BD1" w:rsidRDefault="00EC4BD1" w:rsidP="00D52622">
            <w:pPr>
              <w:spacing w:line="276" w:lineRule="auto"/>
            </w:pPr>
            <w:r>
              <w:t>Apoyos otorgados</w:t>
            </w:r>
          </w:p>
        </w:tc>
        <w:tc>
          <w:tcPr>
            <w:tcW w:w="10631" w:type="dxa"/>
            <w:tcBorders>
              <w:right w:val="double" w:sz="4" w:space="0" w:color="auto"/>
            </w:tcBorders>
            <w:vAlign w:val="center"/>
          </w:tcPr>
          <w:p w:rsidR="00F22248" w:rsidRPr="008A16AD" w:rsidRDefault="00F22248" w:rsidP="00D52622">
            <w:pPr>
              <w:spacing w:line="276" w:lineRule="auto"/>
            </w:pPr>
            <w:r w:rsidRPr="008A16AD">
              <w:t>Los proyectos, programas y estudios que el Fondo ha apoyado desde su creación, son los siguientes</w:t>
            </w:r>
          </w:p>
          <w:p w:rsidR="00F22248" w:rsidRPr="008A16AD" w:rsidRDefault="00F22248" w:rsidP="00D52622">
            <w:pPr>
              <w:spacing w:line="276" w:lineRule="auto"/>
            </w:pPr>
          </w:p>
          <w:p w:rsidR="003B3A1F" w:rsidRPr="008A16AD" w:rsidRDefault="00C253D6" w:rsidP="006B7DEB">
            <w:pPr>
              <w:spacing w:line="276" w:lineRule="auto"/>
            </w:pPr>
            <w:r w:rsidRPr="008A16AD">
              <w:t xml:space="preserve">Proyectos apoyados por el </w:t>
            </w:r>
            <w:r w:rsidR="003B3A1F" w:rsidRPr="008A16AD">
              <w:t>Fondo en el 2009:</w:t>
            </w:r>
          </w:p>
          <w:p w:rsidR="003B3A1F" w:rsidRPr="008A16AD" w:rsidRDefault="003B3A1F" w:rsidP="006B7DE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743" w:hanging="426"/>
            </w:pPr>
            <w:r w:rsidRPr="008A16AD">
              <w:t>Programa de Sustitución de Electrodomésticos para el Ahorro de Energía</w:t>
            </w:r>
            <w:r w:rsidR="00044F66" w:rsidRPr="008A16AD">
              <w:t>: $3,838,785,080.90</w:t>
            </w:r>
          </w:p>
          <w:p w:rsidR="003B3A1F" w:rsidRPr="008A16AD" w:rsidRDefault="003B3A1F" w:rsidP="006B7DE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743" w:hanging="426"/>
            </w:pPr>
            <w:r w:rsidRPr="008A16AD">
              <w:t>Proyecto Piloto de Sustitución de Focos para el Ahorro de</w:t>
            </w:r>
            <w:r w:rsidR="00C253D6" w:rsidRPr="008A16AD">
              <w:t xml:space="preserve"> Energía</w:t>
            </w:r>
            <w:r w:rsidR="00044F66" w:rsidRPr="008A16AD">
              <w:t>: $12,</w:t>
            </w:r>
            <w:r w:rsidR="00C20B6E" w:rsidRPr="008A16AD">
              <w:t>634,,267.00</w:t>
            </w:r>
          </w:p>
          <w:p w:rsidR="00EC4BD1" w:rsidRPr="008A16AD" w:rsidRDefault="003B3A1F" w:rsidP="006B7DE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743" w:hanging="426"/>
            </w:pPr>
            <w:r w:rsidRPr="008A16AD">
              <w:t>Proyecto Servicios Integrales de Energía</w:t>
            </w:r>
            <w:r w:rsidR="00C253D6" w:rsidRPr="008A16AD">
              <w:t>, Electrificación Rural</w:t>
            </w:r>
            <w:r w:rsidR="00C20B6E" w:rsidRPr="008A16AD">
              <w:t>: $366,680,000.00</w:t>
            </w:r>
          </w:p>
          <w:p w:rsidR="003B3A1F" w:rsidRPr="008A16AD" w:rsidRDefault="003B3A1F" w:rsidP="006B7DEB">
            <w:pPr>
              <w:spacing w:line="276" w:lineRule="auto"/>
              <w:ind w:left="743" w:hanging="426"/>
            </w:pPr>
          </w:p>
          <w:p w:rsidR="003B3A1F" w:rsidRPr="008A16AD" w:rsidRDefault="00C253D6" w:rsidP="006B7DEB">
            <w:pPr>
              <w:spacing w:line="276" w:lineRule="auto"/>
            </w:pPr>
            <w:r w:rsidRPr="008A16AD">
              <w:t>Proyectos apoyados por el</w:t>
            </w:r>
            <w:r w:rsidR="003B3A1F" w:rsidRPr="008A16AD">
              <w:t xml:space="preserve"> Fondo en el 2010:</w:t>
            </w:r>
          </w:p>
          <w:p w:rsidR="003B3A1F" w:rsidRPr="008A16AD" w:rsidRDefault="003B3A1F" w:rsidP="006B7DE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743" w:hanging="426"/>
            </w:pPr>
            <w:r w:rsidRPr="008A16AD">
              <w:t>Proyecto Nacional de Eficiencia Energética para el Alumbrado Público Municipal</w:t>
            </w:r>
            <w:r w:rsidR="00C20B6E" w:rsidRPr="008A16AD">
              <w:t>: $120,000,000.00</w:t>
            </w:r>
          </w:p>
          <w:p w:rsidR="003B3A1F" w:rsidRPr="008A16AD" w:rsidRDefault="003B3A1F" w:rsidP="006B7DE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743" w:hanging="426"/>
            </w:pPr>
            <w:r w:rsidRPr="008A16AD">
              <w:t>Proyecto de elaboración de programáticos (</w:t>
            </w:r>
            <w:proofErr w:type="spellStart"/>
            <w:r w:rsidRPr="008A16AD">
              <w:t>POA´s</w:t>
            </w:r>
            <w:proofErr w:type="spellEnd"/>
            <w:r w:rsidRPr="008A16AD">
              <w:t>) y Acciones de Mitigación (</w:t>
            </w:r>
            <w:proofErr w:type="spellStart"/>
            <w:r w:rsidRPr="008A16AD">
              <w:t>NAMA´s</w:t>
            </w:r>
            <w:proofErr w:type="spellEnd"/>
            <w:r w:rsidRPr="008A16AD">
              <w:t>)</w:t>
            </w:r>
            <w:r w:rsidR="00C20B6E" w:rsidRPr="008A16AD">
              <w:t>: $15,283,116.00</w:t>
            </w:r>
          </w:p>
          <w:p w:rsidR="003B3A1F" w:rsidRPr="008A16AD" w:rsidRDefault="003B3A1F" w:rsidP="006B7DE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743" w:hanging="426"/>
            </w:pPr>
            <w:proofErr w:type="spellStart"/>
            <w:r w:rsidRPr="008A16AD">
              <w:t>BioEconomía</w:t>
            </w:r>
            <w:proofErr w:type="spellEnd"/>
            <w:r w:rsidRPr="008A16AD">
              <w:t xml:space="preserve"> 2012</w:t>
            </w:r>
            <w:r w:rsidR="00C20B6E" w:rsidRPr="008A16AD">
              <w:t>: $1,097,399,724.55</w:t>
            </w:r>
          </w:p>
          <w:p w:rsidR="003B3A1F" w:rsidRPr="008A16AD" w:rsidRDefault="003B3A1F" w:rsidP="006B7DEB">
            <w:pPr>
              <w:spacing w:line="276" w:lineRule="auto"/>
              <w:ind w:left="743" w:hanging="426"/>
            </w:pPr>
          </w:p>
          <w:p w:rsidR="003B3A1F" w:rsidRPr="008A16AD" w:rsidRDefault="00C253D6" w:rsidP="006B7DEB">
            <w:pPr>
              <w:spacing w:line="276" w:lineRule="auto"/>
            </w:pPr>
            <w:r w:rsidRPr="008A16AD">
              <w:t>Proyectos apoyados por el</w:t>
            </w:r>
            <w:r w:rsidR="003B3A1F" w:rsidRPr="008A16AD">
              <w:t xml:space="preserve"> Fondo en el 2011:</w:t>
            </w:r>
          </w:p>
          <w:p w:rsidR="003B3A1F" w:rsidRPr="008A16AD" w:rsidRDefault="003B3A1F" w:rsidP="006B7DEB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743" w:hanging="426"/>
            </w:pPr>
            <w:r w:rsidRPr="008A16AD">
              <w:t>Luz Sustentable</w:t>
            </w:r>
            <w:r w:rsidR="00C20B6E" w:rsidRPr="008A16AD">
              <w:t>: $651,568,568.60</w:t>
            </w:r>
          </w:p>
          <w:p w:rsidR="003B3A1F" w:rsidRPr="008A16AD" w:rsidRDefault="003B3A1F" w:rsidP="006B7DEB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743" w:hanging="426"/>
            </w:pPr>
            <w:r w:rsidRPr="008A16AD">
              <w:t>Programa de Ahorro en Eficiencia Energética Empresarial</w:t>
            </w:r>
            <w:r w:rsidR="00C20B6E" w:rsidRPr="008A16AD">
              <w:t>: $25,000,000.00</w:t>
            </w:r>
          </w:p>
          <w:p w:rsidR="003B3A1F" w:rsidRPr="008A16AD" w:rsidRDefault="003B3A1F" w:rsidP="00D52622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8A16AD">
              <w:t>Programa de Iluminación Rural ILUMEXICO</w:t>
            </w:r>
            <w:r w:rsidR="00C20B6E" w:rsidRPr="008A16AD">
              <w:t>: $5,800,000.00</w:t>
            </w:r>
          </w:p>
          <w:p w:rsidR="003B3A1F" w:rsidRPr="008A16AD" w:rsidRDefault="003B3A1F" w:rsidP="00D52622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8A16AD">
              <w:t>Evaluación del Programa Nacional de Sustitución de Eq</w:t>
            </w:r>
            <w:r w:rsidR="00C253D6" w:rsidRPr="008A16AD">
              <w:t>uipos Electrodomésticos (PNSEE)</w:t>
            </w:r>
            <w:r w:rsidR="00C20B6E" w:rsidRPr="008A16AD">
              <w:t>: $462,586.14</w:t>
            </w:r>
          </w:p>
          <w:p w:rsidR="003B3A1F" w:rsidRPr="008A16AD" w:rsidRDefault="003B3A1F" w:rsidP="00D52622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8A16AD">
              <w:t>Iniciativa para el desarrollo de sector eólico en México e Iniciativa para el desarrollo de las energías renovables (fotovoltaica, geotérmica, b</w:t>
            </w:r>
            <w:r w:rsidR="00E31147" w:rsidRPr="008A16AD">
              <w:t>iomasa y cogeneración) en México: $13,635,000.00</w:t>
            </w:r>
          </w:p>
          <w:p w:rsidR="003B3A1F" w:rsidRPr="008A16AD" w:rsidRDefault="003B3A1F" w:rsidP="00D52622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8A16AD">
              <w:t>Proyecto Piloto de Aislamiento Térmico para Vivienda en la Ciudad de Mexicali, Baja California</w:t>
            </w:r>
            <w:r w:rsidR="00E31147" w:rsidRPr="008A16AD">
              <w:t xml:space="preserve">: </w:t>
            </w:r>
            <w:r w:rsidR="00E31147" w:rsidRPr="008A16AD">
              <w:lastRenderedPageBreak/>
              <w:t>$16,800,000.00</w:t>
            </w:r>
          </w:p>
          <w:p w:rsidR="003B3A1F" w:rsidRPr="008A16AD" w:rsidRDefault="003B3A1F" w:rsidP="00D52622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8A16AD">
              <w:t>Proyecto de elaboración de estudios sobre potencial de recursos renovables</w:t>
            </w:r>
            <w:r w:rsidR="00E31147" w:rsidRPr="008A16AD">
              <w:t>: $72,724,773.00</w:t>
            </w:r>
          </w:p>
          <w:p w:rsidR="003B3A1F" w:rsidRPr="008A16AD" w:rsidRDefault="003B3A1F" w:rsidP="00D52622">
            <w:pPr>
              <w:pStyle w:val="Prrafodelista"/>
              <w:numPr>
                <w:ilvl w:val="0"/>
                <w:numId w:val="5"/>
              </w:numPr>
              <w:spacing w:line="276" w:lineRule="auto"/>
            </w:pPr>
            <w:r w:rsidRPr="008A16AD">
              <w:t>Proyecto para la ejecución de donativos y préstamos de Banco Mundial ejecutados por la S</w:t>
            </w:r>
            <w:r w:rsidR="00C253D6" w:rsidRPr="008A16AD">
              <w:t>ENER</w:t>
            </w:r>
            <w:r w:rsidR="00E31147" w:rsidRPr="008A16AD">
              <w:t>: $67,393,729.67</w:t>
            </w:r>
          </w:p>
          <w:p w:rsidR="003B3A1F" w:rsidRPr="008A16AD" w:rsidRDefault="003B3A1F" w:rsidP="00D52622">
            <w:pPr>
              <w:spacing w:line="276" w:lineRule="auto"/>
            </w:pPr>
          </w:p>
          <w:p w:rsidR="003B3A1F" w:rsidRPr="008A16AD" w:rsidRDefault="00C253D6" w:rsidP="00D52622">
            <w:pPr>
              <w:spacing w:line="276" w:lineRule="auto"/>
            </w:pPr>
            <w:r w:rsidRPr="008A16AD">
              <w:t>Proyectos apoyados por el</w:t>
            </w:r>
            <w:r w:rsidR="003B3A1F" w:rsidRPr="008A16AD">
              <w:t xml:space="preserve"> Fondo en el 2012:</w:t>
            </w:r>
          </w:p>
          <w:p w:rsidR="003B3A1F" w:rsidRPr="008A16AD" w:rsidRDefault="00C253D6" w:rsidP="00D52622">
            <w:pPr>
              <w:pStyle w:val="Prrafodelista"/>
              <w:numPr>
                <w:ilvl w:val="0"/>
                <w:numId w:val="6"/>
              </w:numPr>
              <w:spacing w:line="276" w:lineRule="auto"/>
            </w:pPr>
            <w:r w:rsidRPr="008A16AD">
              <w:t>Luz Sustentable, Segunda Etapa</w:t>
            </w:r>
            <w:r w:rsidR="00E31147" w:rsidRPr="008A16AD">
              <w:t>: $988,934,660.00</w:t>
            </w:r>
          </w:p>
          <w:p w:rsidR="003B3A1F" w:rsidRPr="008A16AD" w:rsidRDefault="003B3A1F" w:rsidP="00D52622">
            <w:pPr>
              <w:pStyle w:val="Prrafodelista"/>
              <w:numPr>
                <w:ilvl w:val="0"/>
                <w:numId w:val="6"/>
              </w:numPr>
              <w:spacing w:line="276" w:lineRule="auto"/>
            </w:pPr>
            <w:r w:rsidRPr="008A16AD">
              <w:t xml:space="preserve">Proyecto </w:t>
            </w:r>
            <w:proofErr w:type="spellStart"/>
            <w:r w:rsidRPr="008A16AD">
              <w:t>Ecofilm</w:t>
            </w:r>
            <w:proofErr w:type="spellEnd"/>
            <w:r w:rsidRPr="008A16AD">
              <w:t xml:space="preserve"> Festival 2012</w:t>
            </w:r>
            <w:r w:rsidR="00E31147" w:rsidRPr="008A16AD">
              <w:t>: $4,176,112.00</w:t>
            </w:r>
          </w:p>
          <w:p w:rsidR="003B3A1F" w:rsidRPr="008A16AD" w:rsidRDefault="003B3A1F" w:rsidP="00D52622">
            <w:pPr>
              <w:pStyle w:val="Prrafodelista"/>
              <w:numPr>
                <w:ilvl w:val="0"/>
                <w:numId w:val="6"/>
              </w:numPr>
              <w:spacing w:line="276" w:lineRule="auto"/>
            </w:pPr>
            <w:r w:rsidRPr="008A16AD">
              <w:t xml:space="preserve">Iniciativa para el desarrollo del </w:t>
            </w:r>
            <w:r w:rsidR="00E31147" w:rsidRPr="008A16AD">
              <w:t>sector hidroeléctrico en México: $1,100,000.00</w:t>
            </w:r>
          </w:p>
          <w:p w:rsidR="003B3A1F" w:rsidRPr="008A16AD" w:rsidRDefault="003B3A1F" w:rsidP="00D52622">
            <w:pPr>
              <w:pStyle w:val="Prrafodelista"/>
              <w:numPr>
                <w:ilvl w:val="0"/>
                <w:numId w:val="6"/>
              </w:numPr>
              <w:spacing w:line="276" w:lineRule="auto"/>
            </w:pPr>
            <w:r w:rsidRPr="008A16AD">
              <w:t>Proyecto Balón de Luz</w:t>
            </w:r>
            <w:r w:rsidR="00E31147" w:rsidRPr="008A16AD">
              <w:t>: $1,750,000.00</w:t>
            </w:r>
          </w:p>
          <w:p w:rsidR="003B3A1F" w:rsidRPr="008A16AD" w:rsidRDefault="003B3A1F" w:rsidP="00D52622">
            <w:pPr>
              <w:pStyle w:val="Prrafodelista"/>
              <w:numPr>
                <w:ilvl w:val="0"/>
                <w:numId w:val="6"/>
              </w:numPr>
              <w:spacing w:line="276" w:lineRule="auto"/>
            </w:pPr>
            <w:r w:rsidRPr="008A16AD">
              <w:t>Proyecto de elaboración de protocolo de eficiencia energética</w:t>
            </w:r>
            <w:r w:rsidR="00E31147" w:rsidRPr="008A16AD">
              <w:t>: $1,750,000.00</w:t>
            </w:r>
          </w:p>
          <w:p w:rsidR="003B3A1F" w:rsidRPr="008A16AD" w:rsidRDefault="003B3A1F" w:rsidP="00D52622">
            <w:pPr>
              <w:spacing w:line="276" w:lineRule="auto"/>
            </w:pPr>
          </w:p>
          <w:p w:rsidR="003B3A1F" w:rsidRPr="008A16AD" w:rsidRDefault="00C253D6" w:rsidP="00D52622">
            <w:pPr>
              <w:spacing w:line="276" w:lineRule="auto"/>
            </w:pPr>
            <w:r w:rsidRPr="008A16AD">
              <w:t>Proyectos apoyados por el</w:t>
            </w:r>
            <w:r w:rsidR="003B3A1F" w:rsidRPr="008A16AD">
              <w:t xml:space="preserve"> Fondo en 2013:</w:t>
            </w:r>
          </w:p>
          <w:p w:rsidR="003B3A1F" w:rsidRPr="008A16AD" w:rsidRDefault="003B3A1F" w:rsidP="00D52622">
            <w:pPr>
              <w:pStyle w:val="Prrafodelista"/>
              <w:numPr>
                <w:ilvl w:val="0"/>
                <w:numId w:val="7"/>
              </w:numPr>
              <w:spacing w:line="276" w:lineRule="auto"/>
            </w:pPr>
            <w:r w:rsidRPr="008A16AD">
              <w:t>Segundo Estudio Potencial Eólico, en México</w:t>
            </w:r>
            <w:r w:rsidR="006B7DEB" w:rsidRPr="008A16AD">
              <w:t>: $975,000.00</w:t>
            </w:r>
          </w:p>
          <w:p w:rsidR="006B7DEB" w:rsidRPr="008A16AD" w:rsidRDefault="003B3A1F" w:rsidP="00D52622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sz w:val="28"/>
              </w:rPr>
            </w:pPr>
            <w:r w:rsidRPr="008A16AD">
              <w:t>Proyectos integrales de Geofísica para el desarrollo de pre factibilidad de Zonas Geotérmicas Estratégicas de la C</w:t>
            </w:r>
            <w:r w:rsidR="00C253D6" w:rsidRPr="008A16AD">
              <w:t>FE</w:t>
            </w:r>
            <w:r w:rsidR="006B7DEB" w:rsidRPr="008A16AD">
              <w:t>: $50,000,000.00</w:t>
            </w:r>
          </w:p>
          <w:p w:rsidR="006B7DEB" w:rsidRPr="008A16AD" w:rsidRDefault="003B3A1F" w:rsidP="00D52622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sz w:val="28"/>
              </w:rPr>
            </w:pPr>
            <w:r w:rsidRPr="008A16AD">
              <w:t>Diseño y estructuración de instrumentos financieros para el desarrollo de inversión privada en proyectos de geotermia</w:t>
            </w:r>
            <w:r w:rsidR="006B7DEB" w:rsidRPr="008A16AD">
              <w:t>: $150,000,000.00</w:t>
            </w:r>
          </w:p>
          <w:p w:rsidR="003B3A1F" w:rsidRPr="008A16AD" w:rsidRDefault="008A16AD" w:rsidP="00D52622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sz w:val="28"/>
              </w:rPr>
            </w:pPr>
            <w:r>
              <w:t>Cuatro</w:t>
            </w:r>
            <w:r w:rsidR="003B3A1F" w:rsidRPr="008A16AD">
              <w:t xml:space="preserve"> Programas Pilotos: sustitución de lámparas incandescentes por fluorescentes compactas en localidades de hasta 100,000 habitantes en los Estados de Michoacán, Guerrero, Sonora y Chihuahua</w:t>
            </w:r>
            <w:r w:rsidR="006B7DEB" w:rsidRPr="008A16AD">
              <w:t>: $957,000.00</w:t>
            </w:r>
          </w:p>
          <w:p w:rsidR="00F22248" w:rsidRDefault="00F22248" w:rsidP="00D52622">
            <w:pPr>
              <w:spacing w:line="276" w:lineRule="auto"/>
            </w:pPr>
          </w:p>
        </w:tc>
      </w:tr>
      <w:tr w:rsidR="00D26D90" w:rsidTr="00FA10B8"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D26D90" w:rsidRDefault="00D26D90" w:rsidP="00D52622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D26D90" w:rsidRDefault="00D26D90" w:rsidP="00D52622">
            <w:pPr>
              <w:spacing w:line="276" w:lineRule="auto"/>
            </w:pPr>
            <w:r>
              <w:t>Guía rápida</w:t>
            </w:r>
          </w:p>
        </w:tc>
        <w:tc>
          <w:tcPr>
            <w:tcW w:w="10631" w:type="dxa"/>
            <w:tcBorders>
              <w:right w:val="double" w:sz="4" w:space="0" w:color="auto"/>
            </w:tcBorders>
            <w:vAlign w:val="center"/>
          </w:tcPr>
          <w:p w:rsidR="00D26D90" w:rsidRDefault="00D26D90" w:rsidP="00385505">
            <w:pPr>
              <w:spacing w:line="276" w:lineRule="auto"/>
              <w:jc w:val="both"/>
            </w:pPr>
          </w:p>
          <w:p w:rsidR="000A662C" w:rsidRDefault="000A662C" w:rsidP="00385505">
            <w:pPr>
              <w:spacing w:line="276" w:lineRule="auto"/>
              <w:jc w:val="both"/>
            </w:pPr>
            <w:r>
              <w:t xml:space="preserve">Todos los proyectos que busquen beneficiarse de los recursos que otorga el Fondo, deberán </w:t>
            </w:r>
            <w:r w:rsidR="00D038C3">
              <w:t xml:space="preserve">ser enviados </w:t>
            </w:r>
            <w:r w:rsidR="003A504C">
              <w:t xml:space="preserve">a </w:t>
            </w:r>
            <w:r w:rsidR="00D038C3">
              <w:t>la Secretaría Técnica en forma impresa o electrónica</w:t>
            </w:r>
            <w:r w:rsidR="003A504C">
              <w:t xml:space="preserve">, mediante los </w:t>
            </w:r>
            <w:r w:rsidR="00D038C3">
              <w:t xml:space="preserve">formatos que deben ser </w:t>
            </w:r>
            <w:r w:rsidR="00FE0A70">
              <w:t xml:space="preserve">llenados con las características </w:t>
            </w:r>
            <w:r w:rsidR="00D038C3">
              <w:t>técnica</w:t>
            </w:r>
            <w:r w:rsidR="00FE0A70">
              <w:t>s</w:t>
            </w:r>
            <w:r w:rsidR="00D038C3">
              <w:t xml:space="preserve"> y financiera</w:t>
            </w:r>
            <w:r w:rsidR="00FE0A70">
              <w:t>s</w:t>
            </w:r>
            <w:r w:rsidR="00D038C3">
              <w:t xml:space="preserve"> </w:t>
            </w:r>
            <w:r w:rsidR="00FE0A70">
              <w:t xml:space="preserve">del programa. </w:t>
            </w:r>
            <w:r w:rsidR="003A504C">
              <w:t xml:space="preserve">Los datos solicitados son por ejemplo: voltaje </w:t>
            </w:r>
            <w:r w:rsidR="00FE0A70">
              <w:t>de potencia generados o ahorrados, tecnologías innovadas, empleos generados, gases de efecto invernadero evitados, entre otros.</w:t>
            </w:r>
          </w:p>
          <w:p w:rsidR="000A662C" w:rsidRDefault="00FE0A70" w:rsidP="00385505">
            <w:pPr>
              <w:spacing w:line="276" w:lineRule="auto"/>
              <w:jc w:val="both"/>
            </w:pPr>
            <w:r>
              <w:t>Un subcomité técnico valorará la aptitud de los proyectos para ser sometidos al pleno del Comité para su sanción.</w:t>
            </w:r>
          </w:p>
          <w:p w:rsidR="000A662C" w:rsidRDefault="000A662C" w:rsidP="00385505">
            <w:pPr>
              <w:spacing w:line="276" w:lineRule="auto"/>
              <w:jc w:val="both"/>
            </w:pPr>
          </w:p>
        </w:tc>
      </w:tr>
      <w:tr w:rsidR="00D5209F" w:rsidTr="00D5209F">
        <w:trPr>
          <w:trHeight w:val="1271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D5209F" w:rsidRDefault="00D5209F" w:rsidP="00D52622">
            <w:pPr>
              <w:spacing w:line="276" w:lineRule="auto"/>
            </w:pPr>
            <w:r>
              <w:lastRenderedPageBreak/>
              <w:t>Convocatorias</w:t>
            </w:r>
          </w:p>
        </w:tc>
        <w:tc>
          <w:tcPr>
            <w:tcW w:w="1559" w:type="dxa"/>
            <w:vAlign w:val="center"/>
          </w:tcPr>
          <w:p w:rsidR="00D5209F" w:rsidRDefault="00D5209F" w:rsidP="00D52622">
            <w:pPr>
              <w:spacing w:line="276" w:lineRule="auto"/>
            </w:pPr>
            <w:r>
              <w:t>Convocatorias abiertas</w:t>
            </w:r>
          </w:p>
        </w:tc>
        <w:tc>
          <w:tcPr>
            <w:tcW w:w="10631" w:type="dxa"/>
            <w:tcBorders>
              <w:right w:val="double" w:sz="4" w:space="0" w:color="auto"/>
            </w:tcBorders>
            <w:vAlign w:val="center"/>
          </w:tcPr>
          <w:p w:rsidR="00D5209F" w:rsidRDefault="00D5209F" w:rsidP="00D52622">
            <w:pPr>
              <w:spacing w:line="276" w:lineRule="auto"/>
            </w:pPr>
          </w:p>
          <w:p w:rsidR="00D5209F" w:rsidRDefault="00D5209F" w:rsidP="00D52622">
            <w:pPr>
              <w:spacing w:line="276" w:lineRule="auto"/>
            </w:pPr>
            <w:r>
              <w:t>Favor de enviar sus propuestas a la Secretaría Técnica del Fondo.</w:t>
            </w:r>
          </w:p>
          <w:p w:rsidR="0011508A" w:rsidRDefault="0011508A" w:rsidP="00D52622">
            <w:pPr>
              <w:spacing w:line="276" w:lineRule="auto"/>
            </w:pPr>
            <w:r>
              <w:t>En caso de tener dudas, estas pueden ser resu</w:t>
            </w:r>
            <w:r w:rsidR="003E3370">
              <w:t>e</w:t>
            </w:r>
            <w:r>
              <w:t xml:space="preserve">ltas con los </w:t>
            </w:r>
            <w:r w:rsidR="008A16AD">
              <w:t xml:space="preserve">servidores públicos </w:t>
            </w:r>
            <w:r>
              <w:t>de la Dirección General de Sustentabilidad.</w:t>
            </w:r>
          </w:p>
          <w:p w:rsidR="00D5209F" w:rsidRDefault="00D5209F" w:rsidP="00D52622">
            <w:pPr>
              <w:spacing w:line="276" w:lineRule="auto"/>
            </w:pPr>
          </w:p>
        </w:tc>
      </w:tr>
      <w:tr w:rsidR="00D5209F" w:rsidTr="00307727">
        <w:trPr>
          <w:trHeight w:val="14313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D5209F" w:rsidRDefault="00D5209F" w:rsidP="00D52622">
            <w:pPr>
              <w:spacing w:line="276" w:lineRule="auto"/>
            </w:pPr>
            <w:r>
              <w:lastRenderedPageBreak/>
              <w:t>Difusión</w:t>
            </w:r>
          </w:p>
        </w:tc>
        <w:tc>
          <w:tcPr>
            <w:tcW w:w="1559" w:type="dxa"/>
            <w:vAlign w:val="center"/>
          </w:tcPr>
          <w:p w:rsidR="00D5209F" w:rsidRDefault="00D5209F" w:rsidP="00D52622">
            <w:pPr>
              <w:spacing w:line="276" w:lineRule="auto"/>
            </w:pPr>
            <w:r>
              <w:t>Eventos</w:t>
            </w:r>
          </w:p>
        </w:tc>
        <w:tc>
          <w:tcPr>
            <w:tcW w:w="10631" w:type="dxa"/>
            <w:tcBorders>
              <w:right w:val="double" w:sz="4" w:space="0" w:color="auto"/>
            </w:tcBorders>
            <w:vAlign w:val="center"/>
          </w:tcPr>
          <w:p w:rsidR="00D5209F" w:rsidRDefault="00385505" w:rsidP="00D52622">
            <w:pPr>
              <w:spacing w:line="276" w:lineRule="auto"/>
            </w:pPr>
            <w:r>
              <w:t>Desde su instalación, el Comité Técnico del Fondo ha sesionado en 38 ocasiones</w:t>
            </w:r>
            <w:r w:rsidR="003E3370">
              <w:t xml:space="preserve"> (20 sesiones ordinarias y 18 extraordinarias)</w:t>
            </w:r>
            <w:r>
              <w:t xml:space="preserve"> y sesionará durante el 2014 en las siguientes fechas</w:t>
            </w:r>
            <w:r w:rsidR="003E3370">
              <w:t xml:space="preserve"> según el calendario aprobado por el Comité Técnico</w:t>
            </w:r>
            <w:r>
              <w:t xml:space="preserve">: </w:t>
            </w:r>
          </w:p>
          <w:tbl>
            <w:tblPr>
              <w:tblW w:w="343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826"/>
            </w:tblGrid>
            <w:tr w:rsidR="00D5209F" w:rsidRPr="003B3A1F" w:rsidTr="00006B76">
              <w:trPr>
                <w:trHeight w:val="268"/>
                <w:jc w:val="center"/>
              </w:trPr>
              <w:tc>
                <w:tcPr>
                  <w:tcW w:w="3437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5470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209F" w:rsidRPr="003B3A1F" w:rsidRDefault="00D5209F" w:rsidP="00D52622">
                  <w:pPr>
                    <w:spacing w:after="0"/>
                    <w:jc w:val="center"/>
                  </w:pPr>
                  <w:r w:rsidRPr="003B3A1F">
                    <w:rPr>
                      <w:b/>
                      <w:bCs/>
                    </w:rPr>
                    <w:t>Sesiones Ordinarias</w:t>
                  </w:r>
                </w:p>
              </w:tc>
            </w:tr>
            <w:tr w:rsidR="00D5209F" w:rsidRPr="003B3A1F" w:rsidTr="00385505">
              <w:trPr>
                <w:trHeight w:val="324"/>
                <w:jc w:val="center"/>
              </w:trPr>
              <w:tc>
                <w:tcPr>
                  <w:tcW w:w="61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209F" w:rsidRPr="003B3A1F" w:rsidRDefault="00D5209F" w:rsidP="00D52622">
                  <w:pPr>
                    <w:spacing w:after="0"/>
                    <w:jc w:val="center"/>
                  </w:pPr>
                  <w:r w:rsidRPr="003B3A1F">
                    <w:rPr>
                      <w:b/>
                      <w:bCs/>
                    </w:rPr>
                    <w:t>#</w:t>
                  </w:r>
                </w:p>
              </w:tc>
              <w:tc>
                <w:tcPr>
                  <w:tcW w:w="282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CFCFCC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209F" w:rsidRPr="003B3A1F" w:rsidRDefault="00D5209F" w:rsidP="00D52622">
                  <w:pPr>
                    <w:spacing w:after="0"/>
                    <w:jc w:val="center"/>
                  </w:pPr>
                  <w:r w:rsidRPr="003B3A1F">
                    <w:t>Fecha</w:t>
                  </w:r>
                </w:p>
              </w:tc>
            </w:tr>
            <w:tr w:rsidR="00D5209F" w:rsidRPr="003B3A1F" w:rsidTr="00385505">
              <w:trPr>
                <w:trHeight w:val="324"/>
                <w:jc w:val="center"/>
              </w:trPr>
              <w:tc>
                <w:tcPr>
                  <w:tcW w:w="6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209F" w:rsidRPr="003B3A1F" w:rsidRDefault="00D5209F" w:rsidP="00D52622">
                  <w:pPr>
                    <w:spacing w:after="0"/>
                    <w:jc w:val="center"/>
                  </w:pPr>
                  <w:r>
                    <w:t>XXI</w:t>
                  </w:r>
                </w:p>
              </w:tc>
              <w:tc>
                <w:tcPr>
                  <w:tcW w:w="28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CFCFCC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209F" w:rsidRPr="003B3A1F" w:rsidRDefault="00D5209F" w:rsidP="00D52622">
                  <w:pPr>
                    <w:spacing w:after="0"/>
                    <w:jc w:val="center"/>
                  </w:pPr>
                  <w:r>
                    <w:t>4 de junio de 2014</w:t>
                  </w:r>
                </w:p>
              </w:tc>
            </w:tr>
            <w:tr w:rsidR="00D5209F" w:rsidRPr="003B3A1F" w:rsidTr="00385505">
              <w:trPr>
                <w:trHeight w:val="324"/>
                <w:jc w:val="center"/>
              </w:trPr>
              <w:tc>
                <w:tcPr>
                  <w:tcW w:w="6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209F" w:rsidRPr="003B3A1F" w:rsidRDefault="00D5209F" w:rsidP="00D52622">
                  <w:pPr>
                    <w:spacing w:after="0"/>
                    <w:jc w:val="center"/>
                  </w:pPr>
                  <w:r>
                    <w:t>XXII</w:t>
                  </w:r>
                </w:p>
              </w:tc>
              <w:tc>
                <w:tcPr>
                  <w:tcW w:w="28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E9E9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209F" w:rsidRPr="003B3A1F" w:rsidRDefault="00D5209F" w:rsidP="00D52622">
                  <w:pPr>
                    <w:spacing w:after="0"/>
                    <w:jc w:val="center"/>
                  </w:pPr>
                  <w:r>
                    <w:t>3 de septiembre de 2014</w:t>
                  </w:r>
                </w:p>
              </w:tc>
            </w:tr>
            <w:tr w:rsidR="00D5209F" w:rsidRPr="003B3A1F" w:rsidTr="00385505">
              <w:trPr>
                <w:trHeight w:val="324"/>
                <w:jc w:val="center"/>
              </w:trPr>
              <w:tc>
                <w:tcPr>
                  <w:tcW w:w="6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209F" w:rsidRPr="003B3A1F" w:rsidRDefault="00D5209F" w:rsidP="00D52622">
                  <w:pPr>
                    <w:spacing w:after="0"/>
                    <w:jc w:val="center"/>
                  </w:pPr>
                  <w:r>
                    <w:t>XXIII</w:t>
                  </w:r>
                </w:p>
              </w:tc>
              <w:tc>
                <w:tcPr>
                  <w:tcW w:w="28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CFCFCC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209F" w:rsidRPr="003B3A1F" w:rsidRDefault="00D5209F" w:rsidP="00D52622">
                  <w:pPr>
                    <w:spacing w:after="0"/>
                    <w:jc w:val="center"/>
                  </w:pPr>
                  <w:r>
                    <w:t>3 de diciembre de 2014</w:t>
                  </w:r>
                </w:p>
              </w:tc>
            </w:tr>
          </w:tbl>
          <w:p w:rsidR="00D5209F" w:rsidRDefault="00D5209F" w:rsidP="00D52622">
            <w:pPr>
              <w:spacing w:line="276" w:lineRule="auto"/>
            </w:pPr>
          </w:p>
          <w:p w:rsidR="00D5209F" w:rsidRDefault="00D5209F" w:rsidP="00D52622">
            <w:pPr>
              <w:spacing w:line="276" w:lineRule="auto"/>
            </w:pPr>
            <w:r>
              <w:t>El Comité Técnico, de acuerdo con lo establecido en las Reglas de Operación del Fideicomiso, sesiona de manera ordinaria cuatro veces al año y el número de sesiones extraordinarias que se estimen pertinentes.</w:t>
            </w:r>
          </w:p>
          <w:p w:rsidR="00D5209F" w:rsidRDefault="00D5209F" w:rsidP="00D52622">
            <w:pPr>
              <w:spacing w:line="276" w:lineRule="auto"/>
            </w:pPr>
          </w:p>
          <w:p w:rsidR="00D5209F" w:rsidRDefault="00D5209F" w:rsidP="000257FC">
            <w:pPr>
              <w:spacing w:line="276" w:lineRule="auto"/>
            </w:pPr>
          </w:p>
        </w:tc>
      </w:tr>
      <w:tr w:rsidR="00D26D90" w:rsidTr="005B1A3B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D26D90" w:rsidRDefault="00D26D90" w:rsidP="00D52622">
            <w:pPr>
              <w:spacing w:line="276" w:lineRule="auto"/>
            </w:pPr>
            <w:r>
              <w:lastRenderedPageBreak/>
              <w:t>Contacto</w:t>
            </w:r>
            <w:r w:rsidR="003E3370">
              <w:t>s</w:t>
            </w:r>
          </w:p>
        </w:tc>
        <w:tc>
          <w:tcPr>
            <w:tcW w:w="1219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22248" w:rsidRDefault="003E3370" w:rsidP="00D52622">
            <w:pPr>
              <w:spacing w:line="276" w:lineRule="auto"/>
            </w:pPr>
            <w:r>
              <w:t>Lic. Leonardo Beltrán Rodríguez, Presidente del Fondo</w:t>
            </w:r>
          </w:p>
          <w:p w:rsidR="003E3370" w:rsidRDefault="003E3370" w:rsidP="00D52622">
            <w:pPr>
              <w:spacing w:line="276" w:lineRule="auto"/>
            </w:pPr>
            <w:r>
              <w:t xml:space="preserve">Teléfono 5000-6000 Extensión 1020, correo-e: </w:t>
            </w:r>
            <w:r w:rsidRPr="002D798C">
              <w:t>lbeltran@energia.gob.mx</w:t>
            </w:r>
          </w:p>
          <w:p w:rsidR="003E3370" w:rsidRDefault="003E3370" w:rsidP="00D52622">
            <w:pPr>
              <w:spacing w:line="276" w:lineRule="auto"/>
            </w:pPr>
          </w:p>
          <w:p w:rsidR="00D26D90" w:rsidRDefault="00D26D90" w:rsidP="00D52622">
            <w:pPr>
              <w:spacing w:line="276" w:lineRule="auto"/>
            </w:pPr>
            <w:r>
              <w:t>Lic. Efraín Villanueva Arcos.- Secretario Técnico del Fondo</w:t>
            </w:r>
          </w:p>
          <w:p w:rsidR="00D26D90" w:rsidRDefault="00D26D90" w:rsidP="00D52622">
            <w:pPr>
              <w:spacing w:line="276" w:lineRule="auto"/>
            </w:pPr>
            <w:r>
              <w:t xml:space="preserve">teléfono 5000-6000 </w:t>
            </w:r>
            <w:proofErr w:type="spellStart"/>
            <w:r>
              <w:t>ext</w:t>
            </w:r>
            <w:proofErr w:type="spellEnd"/>
            <w:r>
              <w:t xml:space="preserve"> 1023, correo</w:t>
            </w:r>
            <w:r w:rsidR="003E3370">
              <w:t xml:space="preserve">-e:  </w:t>
            </w:r>
            <w:r>
              <w:t>evillanueva@energia.gob.mx</w:t>
            </w:r>
          </w:p>
          <w:p w:rsidR="00D26D90" w:rsidRDefault="00D26D90" w:rsidP="00D52622">
            <w:pPr>
              <w:spacing w:line="276" w:lineRule="auto"/>
            </w:pPr>
          </w:p>
          <w:p w:rsidR="00D26D90" w:rsidRDefault="00D26D90" w:rsidP="00D52622">
            <w:pPr>
              <w:spacing w:line="276" w:lineRule="auto"/>
            </w:pPr>
            <w:r>
              <w:t xml:space="preserve">Ing. </w:t>
            </w:r>
            <w:r w:rsidR="006B7DEB">
              <w:t>Jose Miguel Molina Munguía</w:t>
            </w:r>
            <w:r>
              <w:t xml:space="preserve">.- Director </w:t>
            </w:r>
            <w:r w:rsidR="006B7DEB">
              <w:t>de Energías Renovables</w:t>
            </w:r>
          </w:p>
          <w:p w:rsidR="00D26D90" w:rsidRDefault="00D26D90" w:rsidP="00D52622">
            <w:pPr>
              <w:spacing w:line="276" w:lineRule="auto"/>
            </w:pPr>
            <w:r>
              <w:t xml:space="preserve">teléfono 5000-6000 </w:t>
            </w:r>
            <w:proofErr w:type="spellStart"/>
            <w:r>
              <w:t>ext</w:t>
            </w:r>
            <w:proofErr w:type="spellEnd"/>
            <w:r>
              <w:t xml:space="preserve"> </w:t>
            </w:r>
            <w:r w:rsidR="000257FC">
              <w:t>1382</w:t>
            </w:r>
            <w:r>
              <w:t>, correo electrónico</w:t>
            </w:r>
            <w:r w:rsidR="003E3370">
              <w:t xml:space="preserve">: </w:t>
            </w:r>
            <w:r>
              <w:t xml:space="preserve"> </w:t>
            </w:r>
            <w:r w:rsidR="000257FC">
              <w:t>jmolina@energia.gob.mx</w:t>
            </w:r>
          </w:p>
          <w:p w:rsidR="00D26D90" w:rsidRDefault="00D26D90" w:rsidP="00D52622">
            <w:pPr>
              <w:spacing w:line="276" w:lineRule="auto"/>
            </w:pPr>
          </w:p>
          <w:p w:rsidR="00D26D90" w:rsidRDefault="00D26D90" w:rsidP="00D52622">
            <w:pPr>
              <w:spacing w:line="276" w:lineRule="auto"/>
            </w:pPr>
            <w:r>
              <w:t xml:space="preserve">Ing. Jorge Arturo Gómez Prado.- Subdirector de </w:t>
            </w:r>
            <w:r w:rsidR="000257FC">
              <w:t>Análisis, Difusión y Vinculación Tecnológica</w:t>
            </w:r>
          </w:p>
          <w:p w:rsidR="00D26D90" w:rsidRDefault="00D26D90" w:rsidP="00D52622">
            <w:pPr>
              <w:spacing w:line="276" w:lineRule="auto"/>
            </w:pPr>
            <w:r>
              <w:t xml:space="preserve">teléfono 5000-6000 </w:t>
            </w:r>
            <w:proofErr w:type="spellStart"/>
            <w:r>
              <w:t>ext</w:t>
            </w:r>
            <w:proofErr w:type="spellEnd"/>
            <w:r>
              <w:t xml:space="preserve"> 1062, correo electrónico</w:t>
            </w:r>
            <w:r w:rsidR="003E3370">
              <w:t xml:space="preserve">: </w:t>
            </w:r>
            <w:r>
              <w:t xml:space="preserve"> </w:t>
            </w:r>
            <w:r w:rsidR="00F22248" w:rsidRPr="00F22248">
              <w:t>jgomez@energia.gob.mx</w:t>
            </w:r>
          </w:p>
          <w:p w:rsidR="00F22248" w:rsidRDefault="00F22248" w:rsidP="00D52622">
            <w:pPr>
              <w:spacing w:line="276" w:lineRule="auto"/>
            </w:pPr>
          </w:p>
        </w:tc>
      </w:tr>
      <w:tr w:rsidR="00D26D90" w:rsidTr="0066094E">
        <w:trPr>
          <w:trHeight w:val="2097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6D90" w:rsidRDefault="00D26D90" w:rsidP="00D52622">
            <w:pPr>
              <w:spacing w:line="276" w:lineRule="auto"/>
            </w:pPr>
            <w:r>
              <w:t>Preguntas frecuentes</w:t>
            </w:r>
          </w:p>
        </w:tc>
        <w:tc>
          <w:tcPr>
            <w:tcW w:w="1219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22248" w:rsidRDefault="00F22248" w:rsidP="00D52622">
            <w:pPr>
              <w:spacing w:line="276" w:lineRule="auto"/>
            </w:pPr>
          </w:p>
          <w:p w:rsidR="00D26D90" w:rsidRDefault="00DD0055" w:rsidP="00D52622">
            <w:pPr>
              <w:spacing w:line="276" w:lineRule="auto"/>
            </w:pPr>
            <w:r>
              <w:t>1.- ¿Cualquier entidad o institución puede acceder a los recursos del Fondo?</w:t>
            </w:r>
          </w:p>
          <w:p w:rsidR="00DD0055" w:rsidRDefault="00DD0055" w:rsidP="00D52622">
            <w:pPr>
              <w:spacing w:line="276" w:lineRule="auto"/>
            </w:pPr>
            <w:r>
              <w:t>R= Sí, siempre y cuando cumplan con los objetivos y directrices marcados por la Estrategia Nacional para la Transición Energética y el  Aprovechamiento Sustentable de la Energía</w:t>
            </w:r>
          </w:p>
          <w:p w:rsidR="00DD0055" w:rsidRDefault="00DD0055" w:rsidP="00D52622">
            <w:pPr>
              <w:spacing w:line="276" w:lineRule="auto"/>
            </w:pPr>
          </w:p>
          <w:p w:rsidR="00DD0055" w:rsidRDefault="00DD0055" w:rsidP="00D52622">
            <w:pPr>
              <w:spacing w:line="276" w:lineRule="auto"/>
            </w:pPr>
            <w:r>
              <w:t xml:space="preserve">2.- ¿Los apoyos que otorga el Fondo, son a </w:t>
            </w:r>
            <w:r w:rsidR="00B24305">
              <w:t>fondo perdido?</w:t>
            </w:r>
          </w:p>
          <w:p w:rsidR="00B24305" w:rsidRDefault="00B24305" w:rsidP="00D52622">
            <w:pPr>
              <w:spacing w:line="276" w:lineRule="auto"/>
            </w:pPr>
            <w:r>
              <w:t xml:space="preserve">R= </w:t>
            </w:r>
            <w:r w:rsidR="00842AEB">
              <w:t>De conformidad con el artículo 27 de la Ley para el Aprovechamiento de las Energías Renovables y el Financiamiento de la Transición Energética, el Comité Técnico del FOTEASE podrá acordar que con cargo al Fondo se utilicen recursos no recuperables para el otorgamiento de garantías de crédito u otro tipo de apoyos financieros para proyectos que cumplan con los objetivos de la Estrategia Nacional para la Transición Energética</w:t>
            </w:r>
            <w:r w:rsidR="007349AC">
              <w:t>.</w:t>
            </w:r>
          </w:p>
          <w:p w:rsidR="00B24305" w:rsidRDefault="00B24305" w:rsidP="00D52622">
            <w:pPr>
              <w:spacing w:line="276" w:lineRule="auto"/>
            </w:pPr>
          </w:p>
          <w:p w:rsidR="00B24305" w:rsidRDefault="00B24305" w:rsidP="00D52622">
            <w:pPr>
              <w:spacing w:line="276" w:lineRule="auto"/>
            </w:pPr>
            <w:r>
              <w:t>3.- ¿Quién autoriza los proyectos presentados al Fondo?</w:t>
            </w:r>
          </w:p>
          <w:p w:rsidR="00B24305" w:rsidRDefault="00B24305" w:rsidP="00D52622">
            <w:pPr>
              <w:spacing w:line="276" w:lineRule="auto"/>
            </w:pPr>
            <w:r>
              <w:t>R= Un Comité Técnico representado por 7 miembros de distintas entidades gubernamentales, sancionan de forma colegiada</w:t>
            </w:r>
            <w:r w:rsidR="00B9167B">
              <w:t xml:space="preserve"> y dictaminan de manera favorable o no favorable cuales serán aquellos proyectos que habrán de recibir recursos del Fondo.</w:t>
            </w:r>
          </w:p>
          <w:p w:rsidR="00B9167B" w:rsidRDefault="00B9167B" w:rsidP="00D52622">
            <w:pPr>
              <w:spacing w:line="276" w:lineRule="auto"/>
            </w:pPr>
          </w:p>
          <w:p w:rsidR="00B9167B" w:rsidRDefault="00B9167B" w:rsidP="00D52622">
            <w:pPr>
              <w:spacing w:line="276" w:lineRule="auto"/>
            </w:pPr>
            <w:r>
              <w:t>4.- ¿Qué tipo de apoyos otorga el Fondo?</w:t>
            </w:r>
          </w:p>
          <w:p w:rsidR="00B9167B" w:rsidRDefault="00B9167B" w:rsidP="00D52622">
            <w:pPr>
              <w:spacing w:line="276" w:lineRule="auto"/>
            </w:pPr>
            <w:r>
              <w:t xml:space="preserve">R= </w:t>
            </w:r>
            <w:r w:rsidR="007349AC">
              <w:t>Apoyos financieros para la ejecución de proyectos de eficiencia energética, ahorro de energía y utilización y aprovechamiento de las energías renovables.</w:t>
            </w:r>
          </w:p>
          <w:p w:rsidR="003A6245" w:rsidRDefault="003A6245" w:rsidP="00D52622">
            <w:pPr>
              <w:spacing w:line="276" w:lineRule="auto"/>
            </w:pPr>
          </w:p>
          <w:p w:rsidR="00B9167B" w:rsidRDefault="00B9167B" w:rsidP="00D52622">
            <w:pPr>
              <w:spacing w:line="276" w:lineRule="auto"/>
            </w:pPr>
            <w:r>
              <w:lastRenderedPageBreak/>
              <w:t>5.- ¿Los apoyos otorgados se encuentran sujetos a algún tipo de auditoría?</w:t>
            </w:r>
          </w:p>
          <w:p w:rsidR="00B9167B" w:rsidRDefault="00B9167B" w:rsidP="00D52622">
            <w:pPr>
              <w:spacing w:line="276" w:lineRule="auto"/>
            </w:pPr>
            <w:r>
              <w:t xml:space="preserve">R= Sí, </w:t>
            </w:r>
            <w:r w:rsidR="007349AC">
              <w:t>todos los</w:t>
            </w:r>
            <w:r>
              <w:t xml:space="preserve"> proyectos que resulten favorecidos por apoyos del Fondo, deberán someterse al escrutinio de la Auditoría Superior de la Federación de manera constante, esto además de los servicio</w:t>
            </w:r>
            <w:r w:rsidR="00F410A8">
              <w:t>s</w:t>
            </w:r>
            <w:r>
              <w:t xml:space="preserve"> de auditoría que los beneficiarios de los proyectos pudieran contratar de forma propia.</w:t>
            </w:r>
          </w:p>
          <w:p w:rsidR="00B9167B" w:rsidRDefault="00B9167B" w:rsidP="00D52622">
            <w:pPr>
              <w:spacing w:line="276" w:lineRule="auto"/>
            </w:pPr>
          </w:p>
          <w:p w:rsidR="00B9167B" w:rsidRDefault="00B9167B" w:rsidP="00D52622">
            <w:pPr>
              <w:spacing w:line="276" w:lineRule="auto"/>
            </w:pPr>
            <w:r>
              <w:t>6.- ¿Qué duración puede tener el proyecto que presente?</w:t>
            </w:r>
          </w:p>
          <w:p w:rsidR="00B9167B" w:rsidRDefault="00B9167B" w:rsidP="00D52622">
            <w:pPr>
              <w:spacing w:line="276" w:lineRule="auto"/>
            </w:pPr>
            <w:r>
              <w:t xml:space="preserve">R= Dada la naturaleza de los proyectos, </w:t>
            </w:r>
            <w:r w:rsidR="00F410A8">
              <w:t>é</w:t>
            </w:r>
            <w:r>
              <w:t xml:space="preserve">stos pueden durar desde un par de meses hasta varios años, </w:t>
            </w:r>
            <w:r w:rsidR="00F410A8">
              <w:t>dependiendo</w:t>
            </w:r>
            <w:r>
              <w:t xml:space="preserve"> del alcance de cada programa.</w:t>
            </w:r>
          </w:p>
          <w:p w:rsidR="00B9167B" w:rsidRDefault="00B9167B" w:rsidP="00D52622">
            <w:pPr>
              <w:spacing w:line="276" w:lineRule="auto"/>
            </w:pPr>
          </w:p>
          <w:p w:rsidR="00B9167B" w:rsidRDefault="00B9167B" w:rsidP="00D52622">
            <w:pPr>
              <w:spacing w:line="276" w:lineRule="auto"/>
            </w:pPr>
            <w:r>
              <w:t xml:space="preserve">7.- </w:t>
            </w:r>
            <w:r w:rsidR="0066094E">
              <w:t>Si mi proyecto sufre modificaciones o retrasos una vez aprobado, ¿qué se debe hacer?</w:t>
            </w:r>
          </w:p>
          <w:p w:rsidR="00F410A8" w:rsidRDefault="0066094E" w:rsidP="006B7DEB">
            <w:pPr>
              <w:spacing w:line="276" w:lineRule="auto"/>
            </w:pPr>
            <w:r>
              <w:t xml:space="preserve">R= Se debe notificar a la Secretaría </w:t>
            </w:r>
            <w:r w:rsidR="00F410A8">
              <w:t>T</w:t>
            </w:r>
            <w:r>
              <w:t>écnica del Fondo el motivo que originó el cambio o retraso en el proyecto y las medidas que se están tomando para remediarlo. En caso de ser necesaria una reforma a los lineamientos operativos del proyecto, estos tendrán que ser presentados a los miembros del Comité quienes deberán autorizar su modificación.</w:t>
            </w:r>
          </w:p>
          <w:p w:rsidR="000257FC" w:rsidRDefault="000257FC" w:rsidP="006B7DEB">
            <w:pPr>
              <w:spacing w:line="276" w:lineRule="auto"/>
            </w:pPr>
          </w:p>
          <w:p w:rsidR="000257FC" w:rsidRDefault="000257FC" w:rsidP="000257FC">
            <w:pPr>
              <w:spacing w:line="276" w:lineRule="auto"/>
            </w:pPr>
            <w:r>
              <w:t>8.- ¿El Comité Técnico calendariza sus sesiones?</w:t>
            </w:r>
          </w:p>
          <w:p w:rsidR="000257FC" w:rsidRDefault="000257FC" w:rsidP="000257FC">
            <w:pPr>
              <w:spacing w:line="276" w:lineRule="auto"/>
            </w:pPr>
            <w:r>
              <w:t xml:space="preserve">R= El Comité </w:t>
            </w:r>
            <w:r w:rsidR="005C2430">
              <w:t>T</w:t>
            </w:r>
            <w:r>
              <w:t>écnico del Fondo efectúa cuatro sesiones ordinarias al año, pero dependiendo de la cantidad de proyectos a sancionar, se pueden programar tantas sesiones extraordinarias como sean necesarias.</w:t>
            </w:r>
          </w:p>
          <w:p w:rsidR="000257FC" w:rsidRDefault="000257FC" w:rsidP="000257FC">
            <w:pPr>
              <w:spacing w:line="276" w:lineRule="auto"/>
            </w:pPr>
          </w:p>
          <w:p w:rsidR="00FF71C3" w:rsidRDefault="000257FC" w:rsidP="00FF71C3">
            <w:r>
              <w:t xml:space="preserve">9.- </w:t>
            </w:r>
            <w:r w:rsidR="00FF71C3">
              <w:t>¿Qué tipo de información tengo que reportar si mi proyecto resulta favorable?</w:t>
            </w:r>
          </w:p>
          <w:p w:rsidR="000257FC" w:rsidRDefault="00FF71C3" w:rsidP="00FF71C3">
            <w:pPr>
              <w:spacing w:line="276" w:lineRule="auto"/>
            </w:pPr>
            <w:r>
              <w:t xml:space="preserve">R= Aquellos proyectos, programas o estudios que resulten acreedores a apoyos del Fondo, deben reportar de manera trimestral los logros y metas conseguidas, el seguimiento al cronograma de actividades y </w:t>
            </w:r>
            <w:r w:rsidR="0011508A">
              <w:t>los recursos utilizados, así como el grado de avance técnico y financiero alcanzado.</w:t>
            </w:r>
            <w:r w:rsidR="00580965">
              <w:t xml:space="preserve"> Es preciso señalar que el avance de los proyectos </w:t>
            </w:r>
            <w:proofErr w:type="gramStart"/>
            <w:r w:rsidR="00580965">
              <w:t>son</w:t>
            </w:r>
            <w:proofErr w:type="gramEnd"/>
            <w:r w:rsidR="00580965">
              <w:t xml:space="preserve"> verificados físicamente, la cual puede ser en cualquier momento, así como la solicitud de informe de avances del proyecto.</w:t>
            </w:r>
          </w:p>
          <w:p w:rsidR="00FF71C3" w:rsidRDefault="00FF71C3" w:rsidP="00FF71C3">
            <w:pPr>
              <w:spacing w:line="276" w:lineRule="auto"/>
            </w:pPr>
          </w:p>
          <w:p w:rsidR="00FF71C3" w:rsidRDefault="0011508A" w:rsidP="00FF71C3">
            <w:pPr>
              <w:spacing w:line="276" w:lineRule="auto"/>
            </w:pPr>
            <w:r>
              <w:t>10.- ¿Cuál es el límite de apoyo financiero con el que el Fondo puede apoyar mi proyecto?</w:t>
            </w:r>
          </w:p>
          <w:p w:rsidR="00FF71C3" w:rsidRDefault="0011508A" w:rsidP="00FF71C3">
            <w:pPr>
              <w:spacing w:line="276" w:lineRule="auto"/>
            </w:pPr>
            <w:r>
              <w:t>R= No existe un límite de apoyo a los proyectos y programas planteados al Comité</w:t>
            </w:r>
            <w:r w:rsidR="005C2430">
              <w:t xml:space="preserve"> Técnico</w:t>
            </w:r>
            <w:r>
              <w:t>, siempre y cuando estos cumplan con los requisitos mínimos para resultar sancionados como favorables.</w:t>
            </w:r>
          </w:p>
          <w:p w:rsidR="00FF71C3" w:rsidRDefault="00FF71C3" w:rsidP="00FF71C3">
            <w:pPr>
              <w:spacing w:line="276" w:lineRule="auto"/>
            </w:pPr>
          </w:p>
        </w:tc>
      </w:tr>
    </w:tbl>
    <w:p w:rsidR="008400E7" w:rsidRPr="008400E7" w:rsidRDefault="008400E7" w:rsidP="00D52622">
      <w:pPr>
        <w:jc w:val="both"/>
      </w:pPr>
    </w:p>
    <w:sectPr w:rsidR="008400E7" w:rsidRPr="008400E7" w:rsidSect="00A05891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9D6"/>
    <w:multiLevelType w:val="hybridMultilevel"/>
    <w:tmpl w:val="FEE42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4C68"/>
    <w:multiLevelType w:val="hybridMultilevel"/>
    <w:tmpl w:val="0A887B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70B1A"/>
    <w:multiLevelType w:val="hybridMultilevel"/>
    <w:tmpl w:val="4E826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416E6"/>
    <w:multiLevelType w:val="hybridMultilevel"/>
    <w:tmpl w:val="406A8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1615F"/>
    <w:multiLevelType w:val="hybridMultilevel"/>
    <w:tmpl w:val="9B746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A3C99"/>
    <w:multiLevelType w:val="hybridMultilevel"/>
    <w:tmpl w:val="ED046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A0B6C"/>
    <w:multiLevelType w:val="hybridMultilevel"/>
    <w:tmpl w:val="E43C88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A1"/>
    <w:rsid w:val="00006B76"/>
    <w:rsid w:val="000257FC"/>
    <w:rsid w:val="00035F24"/>
    <w:rsid w:val="00044F66"/>
    <w:rsid w:val="000A161D"/>
    <w:rsid w:val="000A662C"/>
    <w:rsid w:val="0011508A"/>
    <w:rsid w:val="001179BD"/>
    <w:rsid w:val="001A1116"/>
    <w:rsid w:val="001E3FCC"/>
    <w:rsid w:val="00213EBD"/>
    <w:rsid w:val="00244A6F"/>
    <w:rsid w:val="00247B96"/>
    <w:rsid w:val="002A309D"/>
    <w:rsid w:val="002D798C"/>
    <w:rsid w:val="00385505"/>
    <w:rsid w:val="003A504C"/>
    <w:rsid w:val="003A6245"/>
    <w:rsid w:val="003B3A1F"/>
    <w:rsid w:val="003B468D"/>
    <w:rsid w:val="003B5F11"/>
    <w:rsid w:val="003E3370"/>
    <w:rsid w:val="004424A9"/>
    <w:rsid w:val="00490229"/>
    <w:rsid w:val="00491E3D"/>
    <w:rsid w:val="005733A1"/>
    <w:rsid w:val="00580965"/>
    <w:rsid w:val="00595549"/>
    <w:rsid w:val="005C2430"/>
    <w:rsid w:val="005F12F6"/>
    <w:rsid w:val="00654592"/>
    <w:rsid w:val="0066094E"/>
    <w:rsid w:val="006A719B"/>
    <w:rsid w:val="006B7DEB"/>
    <w:rsid w:val="006C57AE"/>
    <w:rsid w:val="007349AC"/>
    <w:rsid w:val="007A5F75"/>
    <w:rsid w:val="007F19B1"/>
    <w:rsid w:val="0080168A"/>
    <w:rsid w:val="008038E8"/>
    <w:rsid w:val="008400E7"/>
    <w:rsid w:val="00842AEB"/>
    <w:rsid w:val="008824C6"/>
    <w:rsid w:val="008A16AD"/>
    <w:rsid w:val="008A765E"/>
    <w:rsid w:val="009304B7"/>
    <w:rsid w:val="00952FC7"/>
    <w:rsid w:val="0095340F"/>
    <w:rsid w:val="00995892"/>
    <w:rsid w:val="009A29C8"/>
    <w:rsid w:val="00A05891"/>
    <w:rsid w:val="00B24305"/>
    <w:rsid w:val="00B9167B"/>
    <w:rsid w:val="00B93607"/>
    <w:rsid w:val="00C20B6E"/>
    <w:rsid w:val="00C253D6"/>
    <w:rsid w:val="00C66AAD"/>
    <w:rsid w:val="00CC52EE"/>
    <w:rsid w:val="00CD5667"/>
    <w:rsid w:val="00D038C3"/>
    <w:rsid w:val="00D2031F"/>
    <w:rsid w:val="00D26D90"/>
    <w:rsid w:val="00D5209F"/>
    <w:rsid w:val="00D52622"/>
    <w:rsid w:val="00DD0055"/>
    <w:rsid w:val="00E31147"/>
    <w:rsid w:val="00E57B29"/>
    <w:rsid w:val="00EC4BD1"/>
    <w:rsid w:val="00F059B0"/>
    <w:rsid w:val="00F22248"/>
    <w:rsid w:val="00F35918"/>
    <w:rsid w:val="00F410A8"/>
    <w:rsid w:val="00F46CAD"/>
    <w:rsid w:val="00FA10B8"/>
    <w:rsid w:val="00FE0A7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1E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91E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E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224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A30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0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0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0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0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1E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91E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E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224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A30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0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0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0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0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1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JGOMEZ\Documents\Actual\6Oficios\Entregas\Distribuci&#243;n%20de%20los%20recursos%20del%20FOTEASE%202009-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rAngAx val="0"/>
      <c:perspective val="7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50514519018457"/>
          <c:y val="0.17436286187081756"/>
          <c:w val="0.84649485480981546"/>
          <c:h val="0.8136558499418097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7.5886728014419882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66016506972773"/>
                  <c:y val="9.50260923266944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2705625652215158E-3"/>
                  <c:y val="-8.45693994133086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291585238592164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600"/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'2013'!$B$32:$B$36</c:f>
              <c:strCache>
                <c:ptCount val="5"/>
                <c:pt idx="0">
                  <c:v>Estudios sobre energías renovables y eficiencia energética</c:v>
                </c:pt>
                <c:pt idx="1">
                  <c:v>Eficiencia energética (Sustitución de equipos)</c:v>
                </c:pt>
                <c:pt idx="2">
                  <c:v>Difusión tecnológica</c:v>
                </c:pt>
                <c:pt idx="3">
                  <c:v>Energía renovable</c:v>
                </c:pt>
                <c:pt idx="4">
                  <c:v>Energía renovable y eficiencia energética</c:v>
                </c:pt>
              </c:strCache>
            </c:strRef>
          </c:cat>
          <c:val>
            <c:numRef>
              <c:f>'2013'!$C$32:$C$36</c:f>
              <c:numCache>
                <c:formatCode>_("$"* #,##0.00_);_("$"* \(#,##0.00\);_("$"* "-"??_);_(@_)</c:formatCode>
                <c:ptCount val="5"/>
                <c:pt idx="0">
                  <c:v>373324204.81</c:v>
                </c:pt>
                <c:pt idx="1">
                  <c:v>5654679594.5</c:v>
                </c:pt>
                <c:pt idx="2">
                  <c:v>5926112</c:v>
                </c:pt>
                <c:pt idx="3">
                  <c:v>372480000</c:v>
                </c:pt>
                <c:pt idx="4">
                  <c:v>1097399724.55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new unique ID#1">
  <dgm:title val="Colorful - Start with Accent 1"/>
  <dgm:desc val=""/>
  <dgm:catLst>
    <dgm:cat type="colorful" pri="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3D989-29DE-435A-9DFF-CF405C9730AD}" type="doc">
      <dgm:prSet loTypeId="urn:microsoft.com/office/officeart/2005/8/layout/radial1" loCatId="relationship" qsTypeId="urn:microsoft.com/office/officeart/2005/8/quickstyle/simple4" qsCatId="simple" csTypeId="new unique ID#1" csCatId="colorful" phldr="1"/>
      <dgm:spPr/>
      <dgm:t>
        <a:bodyPr/>
        <a:lstStyle/>
        <a:p>
          <a:endParaRPr lang="en-US"/>
        </a:p>
      </dgm:t>
    </dgm:pt>
    <dgm:pt modelId="{16687E76-D8BC-4692-A805-91848052AC00}">
      <dgm:prSet phldrT="[Texto]"/>
      <dgm:spPr>
        <a:solidFill>
          <a:schemeClr val="tx1">
            <a:lumMod val="65000"/>
            <a:lumOff val="35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ctr"/>
          <a:r>
            <a:rPr lang="es-MX" dirty="0">
              <a:latin typeface="Presidencia Fina" pitchFamily="50" charset="0"/>
            </a:rPr>
            <a:t>SENER</a:t>
          </a:r>
        </a:p>
      </dgm:t>
    </dgm:pt>
    <dgm:pt modelId="{4F530320-DC65-4006-B21D-5E7E1E29B504}" type="parTrans" cxnId="{36D5CA86-3CA2-40C2-AA18-44834B1A95EA}">
      <dgm:prSet/>
      <dgm:spPr/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CC4F60A3-22A4-4A4E-BA23-BDD4D0378D36}" type="sibTrans" cxnId="{36D5CA86-3CA2-40C2-AA18-44834B1A95EA}">
      <dgm:prSet/>
      <dgm:spPr/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DD6612A9-8372-4FD5-B5D3-4393618050AD}">
      <dgm:prSet phldrT="[Texto]" custT="1"/>
      <dgm:spPr/>
      <dgm:t>
        <a:bodyPr/>
        <a:lstStyle/>
        <a:p>
          <a:pPr algn="ctr"/>
          <a:r>
            <a:rPr lang="es-MX" sz="1050">
              <a:latin typeface="Presidencia Fina" pitchFamily="50" charset="0"/>
            </a:rPr>
            <a:t>IIE</a:t>
          </a:r>
        </a:p>
      </dgm:t>
    </dgm:pt>
    <dgm:pt modelId="{56FBFBE7-F3F3-4A10-B9C7-03DBD7050AD0}" type="parTrans" cxnId="{F8B6CD4C-E73C-4DA9-BB10-0968F5FAF9F9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049DDE67-5AA1-4A80-A2D3-E3765C8A3149}" type="sibTrans" cxnId="{F8B6CD4C-E73C-4DA9-BB10-0968F5FAF9F9}">
      <dgm:prSet/>
      <dgm:spPr/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CAA2457D-0184-44D2-AB59-DB05AE222EA0}">
      <dgm:prSet phldrT="[Texto]" custT="1"/>
      <dgm:spPr/>
      <dgm:t>
        <a:bodyPr/>
        <a:lstStyle/>
        <a:p>
          <a:pPr algn="ctr"/>
          <a:r>
            <a:rPr lang="es-MX" sz="1050">
              <a:latin typeface="Presidencia Fina" pitchFamily="50" charset="0"/>
            </a:rPr>
            <a:t>IMP</a:t>
          </a:r>
        </a:p>
      </dgm:t>
    </dgm:pt>
    <dgm:pt modelId="{E950784A-1B8B-4E0C-960A-E3CC9C3503E6}" type="parTrans" cxnId="{BE6F9F0C-65B5-4A1A-8D21-DF1715E6AF11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7B36D0F2-4C11-4DD4-8823-06CC49CC590A}" type="sibTrans" cxnId="{BE6F9F0C-65B5-4A1A-8D21-DF1715E6AF11}">
      <dgm:prSet/>
      <dgm:spPr/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65813781-27C2-4B56-AE77-FF755D082473}">
      <dgm:prSet phldrT="[Texto]" custT="1"/>
      <dgm:spPr/>
      <dgm:t>
        <a:bodyPr/>
        <a:lstStyle/>
        <a:p>
          <a:pPr algn="ctr"/>
          <a:r>
            <a:rPr lang="es-MX" sz="700">
              <a:latin typeface="Presidencia Fina" pitchFamily="50" charset="0"/>
            </a:rPr>
            <a:t>SAGARPA</a:t>
          </a:r>
          <a:endParaRPr lang="es-MX" sz="600">
            <a:latin typeface="Presidencia Fina" pitchFamily="50" charset="0"/>
          </a:endParaRPr>
        </a:p>
      </dgm:t>
    </dgm:pt>
    <dgm:pt modelId="{CDD34DDF-C0A1-4F2C-89CA-3C5AA4D6A895}" type="parTrans" cxnId="{3AF8CFC2-A606-49CC-83CB-1C4E78287622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E5DD967B-8832-49F8-8643-8538BB12F030}" type="sibTrans" cxnId="{3AF8CFC2-A606-49CC-83CB-1C4E78287622}">
      <dgm:prSet/>
      <dgm:spPr/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344BE13B-6F00-4728-BA52-76F194B42B77}">
      <dgm:prSet phldrT="[Texto]" custT="1"/>
      <dgm:spPr/>
      <dgm:t>
        <a:bodyPr/>
        <a:lstStyle/>
        <a:p>
          <a:pPr algn="ctr"/>
          <a:r>
            <a:rPr lang="es-MX" sz="600">
              <a:latin typeface="Presidencia Fina" pitchFamily="50" charset="0"/>
            </a:rPr>
            <a:t>SEMARNAT</a:t>
          </a:r>
          <a:endParaRPr lang="es-MX" sz="500">
            <a:latin typeface="Presidencia Fina" pitchFamily="50" charset="0"/>
          </a:endParaRPr>
        </a:p>
      </dgm:t>
    </dgm:pt>
    <dgm:pt modelId="{8A6881B2-A48F-455C-85AB-22308E2ACB1E}" type="parTrans" cxnId="{38F1C18D-3E3B-4EC1-B3B5-3D096D6528F5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54607C6A-CFB3-4360-A3FF-A933FEFEE540}" type="sibTrans" cxnId="{38F1C18D-3E3B-4EC1-B3B5-3D096D6528F5}">
      <dgm:prSet/>
      <dgm:spPr/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8A3F0CB0-2A55-4D3E-9F06-38623F175F61}">
      <dgm:prSet phldrT="[Texto]" custT="1"/>
      <dgm:spPr/>
      <dgm:t>
        <a:bodyPr/>
        <a:lstStyle/>
        <a:p>
          <a:pPr algn="ctr"/>
          <a:r>
            <a:rPr lang="es-MX" sz="1050">
              <a:latin typeface="Presidencia Fina" pitchFamily="50" charset="0"/>
            </a:rPr>
            <a:t>CFE</a:t>
          </a:r>
        </a:p>
      </dgm:t>
    </dgm:pt>
    <dgm:pt modelId="{37C4E4FE-E2D3-4CEB-B98D-BFBE2097AC77}" type="parTrans" cxnId="{EACD9A05-A1E3-4A66-A139-0B5EE323D054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2B99BD66-6DC2-4FAF-B60E-D41612260B6D}" type="sibTrans" cxnId="{EACD9A05-A1E3-4A66-A139-0B5EE323D054}">
      <dgm:prSet/>
      <dgm:spPr/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01126801-588B-4680-A6E8-E7E5D1AA0159}">
      <dgm:prSet phldrT="[Texto]" custT="1"/>
      <dgm:spPr/>
      <dgm:t>
        <a:bodyPr/>
        <a:lstStyle/>
        <a:p>
          <a:pPr algn="ctr"/>
          <a:r>
            <a:rPr lang="es-MX" sz="1050">
              <a:latin typeface="Presidencia Fina" pitchFamily="50" charset="0"/>
            </a:rPr>
            <a:t>SHCP</a:t>
          </a:r>
          <a:endParaRPr lang="es-MX" sz="500">
            <a:latin typeface="Presidencia Fina" pitchFamily="50" charset="0"/>
          </a:endParaRPr>
        </a:p>
      </dgm:t>
    </dgm:pt>
    <dgm:pt modelId="{70DB0ADC-C0AE-4F9D-B4C5-6B3D4337B04C}" type="parTrans" cxnId="{052E4B92-2AAD-4756-ADFD-9DC7E8668C68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E1BC8CC7-1707-4080-A927-7581850D55E6}" type="sibTrans" cxnId="{052E4B92-2AAD-4756-ADFD-9DC7E8668C68}">
      <dgm:prSet/>
      <dgm:spPr/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EA8E1FEB-1210-4F3A-AC6D-AB7B5470270D}">
      <dgm:prSet phldrT="[Texto]" custT="1"/>
      <dgm:spPr/>
      <dgm:t>
        <a:bodyPr/>
        <a:lstStyle/>
        <a:p>
          <a:pPr algn="ctr"/>
          <a:r>
            <a:rPr lang="es-MX" sz="700">
              <a:latin typeface="Presidencia Fina" pitchFamily="50" charset="0"/>
            </a:rPr>
            <a:t>CONACYT</a:t>
          </a:r>
          <a:endParaRPr lang="es-MX" sz="500">
            <a:latin typeface="Presidencia Fina" pitchFamily="50" charset="0"/>
          </a:endParaRPr>
        </a:p>
      </dgm:t>
    </dgm:pt>
    <dgm:pt modelId="{117FF362-CF22-40F4-A77D-3887EB03D6DA}" type="parTrans" cxnId="{69E7C395-3187-4BF0-B427-B6B939D2BF75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8B229370-FC28-4A30-AFF7-DB3236CA704C}" type="sibTrans" cxnId="{69E7C395-3187-4BF0-B427-B6B939D2BF75}">
      <dgm:prSet/>
      <dgm:spPr/>
      <dgm:t>
        <a:bodyPr/>
        <a:lstStyle/>
        <a:p>
          <a:pPr algn="ctr"/>
          <a:endParaRPr lang="es-MX">
            <a:latin typeface="Presidencia Fina" pitchFamily="50" charset="0"/>
          </a:endParaRPr>
        </a:p>
      </dgm:t>
    </dgm:pt>
    <dgm:pt modelId="{DAFB235D-75D8-42C7-BD6C-C0FCB2944322}" type="pres">
      <dgm:prSet presAssocID="{6923D989-29DE-435A-9DFF-CF405C9730A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749B013-364A-4720-96BC-E2FF7455ADD4}" type="pres">
      <dgm:prSet presAssocID="{16687E76-D8BC-4692-A805-91848052AC00}" presName="centerShape" presStyleLbl="node0" presStyleIdx="0" presStyleCnt="1"/>
      <dgm:spPr/>
      <dgm:t>
        <a:bodyPr/>
        <a:lstStyle/>
        <a:p>
          <a:endParaRPr lang="es-MX"/>
        </a:p>
      </dgm:t>
    </dgm:pt>
    <dgm:pt modelId="{A8F12E4F-9D1C-44EB-B5B1-8F22F374B432}" type="pres">
      <dgm:prSet presAssocID="{56FBFBE7-F3F3-4A10-B9C7-03DBD7050AD0}" presName="Name9" presStyleLbl="parChTrans1D2" presStyleIdx="0" presStyleCnt="7"/>
      <dgm:spPr/>
      <dgm:t>
        <a:bodyPr/>
        <a:lstStyle/>
        <a:p>
          <a:endParaRPr lang="es-MX"/>
        </a:p>
      </dgm:t>
    </dgm:pt>
    <dgm:pt modelId="{5631C57E-AE83-4976-BA5D-8E1F6A1F5908}" type="pres">
      <dgm:prSet presAssocID="{56FBFBE7-F3F3-4A10-B9C7-03DBD7050AD0}" presName="connTx" presStyleLbl="parChTrans1D2" presStyleIdx="0" presStyleCnt="7"/>
      <dgm:spPr/>
      <dgm:t>
        <a:bodyPr/>
        <a:lstStyle/>
        <a:p>
          <a:endParaRPr lang="es-MX"/>
        </a:p>
      </dgm:t>
    </dgm:pt>
    <dgm:pt modelId="{5041002F-0D44-4DA0-8BD8-1F815CAB9F55}" type="pres">
      <dgm:prSet presAssocID="{DD6612A9-8372-4FD5-B5D3-4393618050AD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4C8344F-E4DF-4921-9621-0B3289A5FB58}" type="pres">
      <dgm:prSet presAssocID="{E950784A-1B8B-4E0C-960A-E3CC9C3503E6}" presName="Name9" presStyleLbl="parChTrans1D2" presStyleIdx="1" presStyleCnt="7"/>
      <dgm:spPr/>
      <dgm:t>
        <a:bodyPr/>
        <a:lstStyle/>
        <a:p>
          <a:endParaRPr lang="es-MX"/>
        </a:p>
      </dgm:t>
    </dgm:pt>
    <dgm:pt modelId="{E382785F-8F40-4DB0-8298-603574F7EF51}" type="pres">
      <dgm:prSet presAssocID="{E950784A-1B8B-4E0C-960A-E3CC9C3503E6}" presName="connTx" presStyleLbl="parChTrans1D2" presStyleIdx="1" presStyleCnt="7"/>
      <dgm:spPr/>
      <dgm:t>
        <a:bodyPr/>
        <a:lstStyle/>
        <a:p>
          <a:endParaRPr lang="es-MX"/>
        </a:p>
      </dgm:t>
    </dgm:pt>
    <dgm:pt modelId="{37D8ED2E-0C33-42BA-9FF3-442CDA529874}" type="pres">
      <dgm:prSet presAssocID="{CAA2457D-0184-44D2-AB59-DB05AE222EA0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59EC29E-73AF-4AEF-9DB3-0F0EB3F752ED}" type="pres">
      <dgm:prSet presAssocID="{CDD34DDF-C0A1-4F2C-89CA-3C5AA4D6A895}" presName="Name9" presStyleLbl="parChTrans1D2" presStyleIdx="2" presStyleCnt="7"/>
      <dgm:spPr/>
      <dgm:t>
        <a:bodyPr/>
        <a:lstStyle/>
        <a:p>
          <a:endParaRPr lang="es-MX"/>
        </a:p>
      </dgm:t>
    </dgm:pt>
    <dgm:pt modelId="{67A92C3E-B292-4729-A433-787502E5C755}" type="pres">
      <dgm:prSet presAssocID="{CDD34DDF-C0A1-4F2C-89CA-3C5AA4D6A895}" presName="connTx" presStyleLbl="parChTrans1D2" presStyleIdx="2" presStyleCnt="7"/>
      <dgm:spPr/>
      <dgm:t>
        <a:bodyPr/>
        <a:lstStyle/>
        <a:p>
          <a:endParaRPr lang="es-MX"/>
        </a:p>
      </dgm:t>
    </dgm:pt>
    <dgm:pt modelId="{288BB383-7246-4CE8-A819-7844C90619FD}" type="pres">
      <dgm:prSet presAssocID="{65813781-27C2-4B56-AE77-FF755D082473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DFE1098-9516-45A8-9673-00E6DF70C28C}" type="pres">
      <dgm:prSet presAssocID="{8A6881B2-A48F-455C-85AB-22308E2ACB1E}" presName="Name9" presStyleLbl="parChTrans1D2" presStyleIdx="3" presStyleCnt="7"/>
      <dgm:spPr/>
      <dgm:t>
        <a:bodyPr/>
        <a:lstStyle/>
        <a:p>
          <a:endParaRPr lang="es-MX"/>
        </a:p>
      </dgm:t>
    </dgm:pt>
    <dgm:pt modelId="{438301B2-62CD-4FCE-8850-C29AB067DB3B}" type="pres">
      <dgm:prSet presAssocID="{8A6881B2-A48F-455C-85AB-22308E2ACB1E}" presName="connTx" presStyleLbl="parChTrans1D2" presStyleIdx="3" presStyleCnt="7"/>
      <dgm:spPr/>
      <dgm:t>
        <a:bodyPr/>
        <a:lstStyle/>
        <a:p>
          <a:endParaRPr lang="es-MX"/>
        </a:p>
      </dgm:t>
    </dgm:pt>
    <dgm:pt modelId="{94C95F70-C460-4121-B2E7-ED28AD173D87}" type="pres">
      <dgm:prSet presAssocID="{344BE13B-6F00-4728-BA52-76F194B42B77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1ADECE5-4364-4A0D-8F23-B4DED1E60B83}" type="pres">
      <dgm:prSet presAssocID="{37C4E4FE-E2D3-4CEB-B98D-BFBE2097AC77}" presName="Name9" presStyleLbl="parChTrans1D2" presStyleIdx="4" presStyleCnt="7"/>
      <dgm:spPr/>
      <dgm:t>
        <a:bodyPr/>
        <a:lstStyle/>
        <a:p>
          <a:endParaRPr lang="es-MX"/>
        </a:p>
      </dgm:t>
    </dgm:pt>
    <dgm:pt modelId="{143C10F8-F8B1-4BEB-88D6-9659267F2AAE}" type="pres">
      <dgm:prSet presAssocID="{37C4E4FE-E2D3-4CEB-B98D-BFBE2097AC77}" presName="connTx" presStyleLbl="parChTrans1D2" presStyleIdx="4" presStyleCnt="7"/>
      <dgm:spPr/>
      <dgm:t>
        <a:bodyPr/>
        <a:lstStyle/>
        <a:p>
          <a:endParaRPr lang="es-MX"/>
        </a:p>
      </dgm:t>
    </dgm:pt>
    <dgm:pt modelId="{68769673-3D17-433F-8CBD-67B021881062}" type="pres">
      <dgm:prSet presAssocID="{8A3F0CB0-2A55-4D3E-9F06-38623F175F61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FAA5F5-D91B-4409-8FE0-E875CED9C117}" type="pres">
      <dgm:prSet presAssocID="{70DB0ADC-C0AE-4F9D-B4C5-6B3D4337B04C}" presName="Name9" presStyleLbl="parChTrans1D2" presStyleIdx="5" presStyleCnt="7"/>
      <dgm:spPr/>
      <dgm:t>
        <a:bodyPr/>
        <a:lstStyle/>
        <a:p>
          <a:endParaRPr lang="es-MX"/>
        </a:p>
      </dgm:t>
    </dgm:pt>
    <dgm:pt modelId="{EB625506-6D7F-470F-AE9C-6D8482C3CACA}" type="pres">
      <dgm:prSet presAssocID="{70DB0ADC-C0AE-4F9D-B4C5-6B3D4337B04C}" presName="connTx" presStyleLbl="parChTrans1D2" presStyleIdx="5" presStyleCnt="7"/>
      <dgm:spPr/>
      <dgm:t>
        <a:bodyPr/>
        <a:lstStyle/>
        <a:p>
          <a:endParaRPr lang="es-MX"/>
        </a:p>
      </dgm:t>
    </dgm:pt>
    <dgm:pt modelId="{9A218F68-8075-4EEE-9B0F-20864CFC3940}" type="pres">
      <dgm:prSet presAssocID="{01126801-588B-4680-A6E8-E7E5D1AA015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BC8F010-07E8-4F2C-A559-55B124F1211A}" type="pres">
      <dgm:prSet presAssocID="{117FF362-CF22-40F4-A77D-3887EB03D6DA}" presName="Name9" presStyleLbl="parChTrans1D2" presStyleIdx="6" presStyleCnt="7"/>
      <dgm:spPr/>
      <dgm:t>
        <a:bodyPr/>
        <a:lstStyle/>
        <a:p>
          <a:endParaRPr lang="es-MX"/>
        </a:p>
      </dgm:t>
    </dgm:pt>
    <dgm:pt modelId="{1205E219-D439-44E3-9AFC-11CDC70CE499}" type="pres">
      <dgm:prSet presAssocID="{117FF362-CF22-40F4-A77D-3887EB03D6DA}" presName="connTx" presStyleLbl="parChTrans1D2" presStyleIdx="6" presStyleCnt="7"/>
      <dgm:spPr/>
      <dgm:t>
        <a:bodyPr/>
        <a:lstStyle/>
        <a:p>
          <a:endParaRPr lang="es-MX"/>
        </a:p>
      </dgm:t>
    </dgm:pt>
    <dgm:pt modelId="{CAE4EA28-0886-4A8B-8E28-86D98D8BA927}" type="pres">
      <dgm:prSet presAssocID="{EA8E1FEB-1210-4F3A-AC6D-AB7B5470270D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12EF67C8-0E19-4656-A79C-563F985E2E25}" type="presOf" srcId="{8A6881B2-A48F-455C-85AB-22308E2ACB1E}" destId="{CDFE1098-9516-45A8-9673-00E6DF70C28C}" srcOrd="0" destOrd="0" presId="urn:microsoft.com/office/officeart/2005/8/layout/radial1"/>
    <dgm:cxn modelId="{EF676F9F-1B9C-4236-8F4E-ADE0DC110E17}" type="presOf" srcId="{117FF362-CF22-40F4-A77D-3887EB03D6DA}" destId="{1205E219-D439-44E3-9AFC-11CDC70CE499}" srcOrd="1" destOrd="0" presId="urn:microsoft.com/office/officeart/2005/8/layout/radial1"/>
    <dgm:cxn modelId="{49307D79-2870-483E-9A8F-C6D00619CDBE}" type="presOf" srcId="{56FBFBE7-F3F3-4A10-B9C7-03DBD7050AD0}" destId="{A8F12E4F-9D1C-44EB-B5B1-8F22F374B432}" srcOrd="0" destOrd="0" presId="urn:microsoft.com/office/officeart/2005/8/layout/radial1"/>
    <dgm:cxn modelId="{B2F8E907-9811-4975-A40B-33F1999C140F}" type="presOf" srcId="{EA8E1FEB-1210-4F3A-AC6D-AB7B5470270D}" destId="{CAE4EA28-0886-4A8B-8E28-86D98D8BA927}" srcOrd="0" destOrd="0" presId="urn:microsoft.com/office/officeart/2005/8/layout/radial1"/>
    <dgm:cxn modelId="{EACD9A05-A1E3-4A66-A139-0B5EE323D054}" srcId="{16687E76-D8BC-4692-A805-91848052AC00}" destId="{8A3F0CB0-2A55-4D3E-9F06-38623F175F61}" srcOrd="4" destOrd="0" parTransId="{37C4E4FE-E2D3-4CEB-B98D-BFBE2097AC77}" sibTransId="{2B99BD66-6DC2-4FAF-B60E-D41612260B6D}"/>
    <dgm:cxn modelId="{BB3F1E76-9FE0-4492-AC0A-C98A5D59F884}" type="presOf" srcId="{CDD34DDF-C0A1-4F2C-89CA-3C5AA4D6A895}" destId="{559EC29E-73AF-4AEF-9DB3-0F0EB3F752ED}" srcOrd="0" destOrd="0" presId="urn:microsoft.com/office/officeart/2005/8/layout/radial1"/>
    <dgm:cxn modelId="{36D5CA86-3CA2-40C2-AA18-44834B1A95EA}" srcId="{6923D989-29DE-435A-9DFF-CF405C9730AD}" destId="{16687E76-D8BC-4692-A805-91848052AC00}" srcOrd="0" destOrd="0" parTransId="{4F530320-DC65-4006-B21D-5E7E1E29B504}" sibTransId="{CC4F60A3-22A4-4A4E-BA23-BDD4D0378D36}"/>
    <dgm:cxn modelId="{BE6F9F0C-65B5-4A1A-8D21-DF1715E6AF11}" srcId="{16687E76-D8BC-4692-A805-91848052AC00}" destId="{CAA2457D-0184-44D2-AB59-DB05AE222EA0}" srcOrd="1" destOrd="0" parTransId="{E950784A-1B8B-4E0C-960A-E3CC9C3503E6}" sibTransId="{7B36D0F2-4C11-4DD4-8823-06CC49CC590A}"/>
    <dgm:cxn modelId="{1D3C4799-6D0A-4250-99BF-E0C6EC0B5AB0}" type="presOf" srcId="{65813781-27C2-4B56-AE77-FF755D082473}" destId="{288BB383-7246-4CE8-A819-7844C90619FD}" srcOrd="0" destOrd="0" presId="urn:microsoft.com/office/officeart/2005/8/layout/radial1"/>
    <dgm:cxn modelId="{CBF97D18-D077-48AA-9C49-526F56CB9FA0}" type="presOf" srcId="{CDD34DDF-C0A1-4F2C-89CA-3C5AA4D6A895}" destId="{67A92C3E-B292-4729-A433-787502E5C755}" srcOrd="1" destOrd="0" presId="urn:microsoft.com/office/officeart/2005/8/layout/radial1"/>
    <dgm:cxn modelId="{B0AEF423-EB03-42A9-A9DC-E3E81D90B1B7}" type="presOf" srcId="{DD6612A9-8372-4FD5-B5D3-4393618050AD}" destId="{5041002F-0D44-4DA0-8BD8-1F815CAB9F55}" srcOrd="0" destOrd="0" presId="urn:microsoft.com/office/officeart/2005/8/layout/radial1"/>
    <dgm:cxn modelId="{764FC7A0-2670-41C8-9448-BF10F661F1D9}" type="presOf" srcId="{70DB0ADC-C0AE-4F9D-B4C5-6B3D4337B04C}" destId="{EB625506-6D7F-470F-AE9C-6D8482C3CACA}" srcOrd="1" destOrd="0" presId="urn:microsoft.com/office/officeart/2005/8/layout/radial1"/>
    <dgm:cxn modelId="{052E4B92-2AAD-4756-ADFD-9DC7E8668C68}" srcId="{16687E76-D8BC-4692-A805-91848052AC00}" destId="{01126801-588B-4680-A6E8-E7E5D1AA0159}" srcOrd="5" destOrd="0" parTransId="{70DB0ADC-C0AE-4F9D-B4C5-6B3D4337B04C}" sibTransId="{E1BC8CC7-1707-4080-A927-7581850D55E6}"/>
    <dgm:cxn modelId="{F8B6CD4C-E73C-4DA9-BB10-0968F5FAF9F9}" srcId="{16687E76-D8BC-4692-A805-91848052AC00}" destId="{DD6612A9-8372-4FD5-B5D3-4393618050AD}" srcOrd="0" destOrd="0" parTransId="{56FBFBE7-F3F3-4A10-B9C7-03DBD7050AD0}" sibTransId="{049DDE67-5AA1-4A80-A2D3-E3765C8A3149}"/>
    <dgm:cxn modelId="{B241BB08-153E-435E-B7A1-1EAEA5C07F8B}" type="presOf" srcId="{01126801-588B-4680-A6E8-E7E5D1AA0159}" destId="{9A218F68-8075-4EEE-9B0F-20864CFC3940}" srcOrd="0" destOrd="0" presId="urn:microsoft.com/office/officeart/2005/8/layout/radial1"/>
    <dgm:cxn modelId="{6224EA15-26C4-4C14-AAEE-BF5D389B0EF5}" type="presOf" srcId="{8A3F0CB0-2A55-4D3E-9F06-38623F175F61}" destId="{68769673-3D17-433F-8CBD-67B021881062}" srcOrd="0" destOrd="0" presId="urn:microsoft.com/office/officeart/2005/8/layout/radial1"/>
    <dgm:cxn modelId="{5AD9813A-9D2F-4B04-8B08-E4ACA16C259A}" type="presOf" srcId="{E950784A-1B8B-4E0C-960A-E3CC9C3503E6}" destId="{E382785F-8F40-4DB0-8298-603574F7EF51}" srcOrd="1" destOrd="0" presId="urn:microsoft.com/office/officeart/2005/8/layout/radial1"/>
    <dgm:cxn modelId="{123A6FE8-2313-47A0-8CDB-3B4E4B2E3B80}" type="presOf" srcId="{E950784A-1B8B-4E0C-960A-E3CC9C3503E6}" destId="{D4C8344F-E4DF-4921-9621-0B3289A5FB58}" srcOrd="0" destOrd="0" presId="urn:microsoft.com/office/officeart/2005/8/layout/radial1"/>
    <dgm:cxn modelId="{58849809-7ED2-40DA-A1BB-F234768688C5}" type="presOf" srcId="{6923D989-29DE-435A-9DFF-CF405C9730AD}" destId="{DAFB235D-75D8-42C7-BD6C-C0FCB2944322}" srcOrd="0" destOrd="0" presId="urn:microsoft.com/office/officeart/2005/8/layout/radial1"/>
    <dgm:cxn modelId="{80948984-E5D0-4E0A-9739-46768A011265}" type="presOf" srcId="{56FBFBE7-F3F3-4A10-B9C7-03DBD7050AD0}" destId="{5631C57E-AE83-4976-BA5D-8E1F6A1F5908}" srcOrd="1" destOrd="0" presId="urn:microsoft.com/office/officeart/2005/8/layout/radial1"/>
    <dgm:cxn modelId="{1DDCAF7A-91A0-4BB8-B7B0-7E1A212E9A12}" type="presOf" srcId="{37C4E4FE-E2D3-4CEB-B98D-BFBE2097AC77}" destId="{143C10F8-F8B1-4BEB-88D6-9659267F2AAE}" srcOrd="1" destOrd="0" presId="urn:microsoft.com/office/officeart/2005/8/layout/radial1"/>
    <dgm:cxn modelId="{F4935885-8B60-4A7E-88C7-B29688E1FC0B}" type="presOf" srcId="{344BE13B-6F00-4728-BA52-76F194B42B77}" destId="{94C95F70-C460-4121-B2E7-ED28AD173D87}" srcOrd="0" destOrd="0" presId="urn:microsoft.com/office/officeart/2005/8/layout/radial1"/>
    <dgm:cxn modelId="{036A3CF6-10F0-450C-A8C4-A28B61B6DB71}" type="presOf" srcId="{16687E76-D8BC-4692-A805-91848052AC00}" destId="{2749B013-364A-4720-96BC-E2FF7455ADD4}" srcOrd="0" destOrd="0" presId="urn:microsoft.com/office/officeart/2005/8/layout/radial1"/>
    <dgm:cxn modelId="{69E7C395-3187-4BF0-B427-B6B939D2BF75}" srcId="{16687E76-D8BC-4692-A805-91848052AC00}" destId="{EA8E1FEB-1210-4F3A-AC6D-AB7B5470270D}" srcOrd="6" destOrd="0" parTransId="{117FF362-CF22-40F4-A77D-3887EB03D6DA}" sibTransId="{8B229370-FC28-4A30-AFF7-DB3236CA704C}"/>
    <dgm:cxn modelId="{1094A498-BD3F-418D-A810-B0830E5CAE6B}" type="presOf" srcId="{70DB0ADC-C0AE-4F9D-B4C5-6B3D4337B04C}" destId="{76FAA5F5-D91B-4409-8FE0-E875CED9C117}" srcOrd="0" destOrd="0" presId="urn:microsoft.com/office/officeart/2005/8/layout/radial1"/>
    <dgm:cxn modelId="{38F1C18D-3E3B-4EC1-B3B5-3D096D6528F5}" srcId="{16687E76-D8BC-4692-A805-91848052AC00}" destId="{344BE13B-6F00-4728-BA52-76F194B42B77}" srcOrd="3" destOrd="0" parTransId="{8A6881B2-A48F-455C-85AB-22308E2ACB1E}" sibTransId="{54607C6A-CFB3-4360-A3FF-A933FEFEE540}"/>
    <dgm:cxn modelId="{2BFE0CC1-1E47-4038-B20B-9A0A4994AF0B}" type="presOf" srcId="{8A6881B2-A48F-455C-85AB-22308E2ACB1E}" destId="{438301B2-62CD-4FCE-8850-C29AB067DB3B}" srcOrd="1" destOrd="0" presId="urn:microsoft.com/office/officeart/2005/8/layout/radial1"/>
    <dgm:cxn modelId="{8D879F2F-D150-422B-A7CA-48B65A94C66F}" type="presOf" srcId="{117FF362-CF22-40F4-A77D-3887EB03D6DA}" destId="{EBC8F010-07E8-4F2C-A559-55B124F1211A}" srcOrd="0" destOrd="0" presId="urn:microsoft.com/office/officeart/2005/8/layout/radial1"/>
    <dgm:cxn modelId="{2E338A28-2FC7-44E5-9C0D-163D7624CD69}" type="presOf" srcId="{CAA2457D-0184-44D2-AB59-DB05AE222EA0}" destId="{37D8ED2E-0C33-42BA-9FF3-442CDA529874}" srcOrd="0" destOrd="0" presId="urn:microsoft.com/office/officeart/2005/8/layout/radial1"/>
    <dgm:cxn modelId="{B7CC8A59-BB77-489B-A626-42A87E9B0B29}" type="presOf" srcId="{37C4E4FE-E2D3-4CEB-B98D-BFBE2097AC77}" destId="{D1ADECE5-4364-4A0D-8F23-B4DED1E60B83}" srcOrd="0" destOrd="0" presId="urn:microsoft.com/office/officeart/2005/8/layout/radial1"/>
    <dgm:cxn modelId="{3AF8CFC2-A606-49CC-83CB-1C4E78287622}" srcId="{16687E76-D8BC-4692-A805-91848052AC00}" destId="{65813781-27C2-4B56-AE77-FF755D082473}" srcOrd="2" destOrd="0" parTransId="{CDD34DDF-C0A1-4F2C-89CA-3C5AA4D6A895}" sibTransId="{E5DD967B-8832-49F8-8643-8538BB12F030}"/>
    <dgm:cxn modelId="{74AB3F1A-82B5-4408-A6C8-0191C0D401E1}" type="presParOf" srcId="{DAFB235D-75D8-42C7-BD6C-C0FCB2944322}" destId="{2749B013-364A-4720-96BC-E2FF7455ADD4}" srcOrd="0" destOrd="0" presId="urn:microsoft.com/office/officeart/2005/8/layout/radial1"/>
    <dgm:cxn modelId="{5B8171AC-4982-42B3-A7E1-5E0D796A0DFA}" type="presParOf" srcId="{DAFB235D-75D8-42C7-BD6C-C0FCB2944322}" destId="{A8F12E4F-9D1C-44EB-B5B1-8F22F374B432}" srcOrd="1" destOrd="0" presId="urn:microsoft.com/office/officeart/2005/8/layout/radial1"/>
    <dgm:cxn modelId="{928BFCF2-E8E2-496B-960F-15B0D62D8B3E}" type="presParOf" srcId="{A8F12E4F-9D1C-44EB-B5B1-8F22F374B432}" destId="{5631C57E-AE83-4976-BA5D-8E1F6A1F5908}" srcOrd="0" destOrd="0" presId="urn:microsoft.com/office/officeart/2005/8/layout/radial1"/>
    <dgm:cxn modelId="{1F8349FE-D697-477C-BFA6-C7630E1A00B8}" type="presParOf" srcId="{DAFB235D-75D8-42C7-BD6C-C0FCB2944322}" destId="{5041002F-0D44-4DA0-8BD8-1F815CAB9F55}" srcOrd="2" destOrd="0" presId="urn:microsoft.com/office/officeart/2005/8/layout/radial1"/>
    <dgm:cxn modelId="{177664F3-7AF7-42BD-90C6-6DC1078AF716}" type="presParOf" srcId="{DAFB235D-75D8-42C7-BD6C-C0FCB2944322}" destId="{D4C8344F-E4DF-4921-9621-0B3289A5FB58}" srcOrd="3" destOrd="0" presId="urn:microsoft.com/office/officeart/2005/8/layout/radial1"/>
    <dgm:cxn modelId="{EFECD4A2-5485-4B4E-B2B7-29C52FB9C862}" type="presParOf" srcId="{D4C8344F-E4DF-4921-9621-0B3289A5FB58}" destId="{E382785F-8F40-4DB0-8298-603574F7EF51}" srcOrd="0" destOrd="0" presId="urn:microsoft.com/office/officeart/2005/8/layout/radial1"/>
    <dgm:cxn modelId="{24901A4E-9EDB-423D-A61D-FC90567AF43B}" type="presParOf" srcId="{DAFB235D-75D8-42C7-BD6C-C0FCB2944322}" destId="{37D8ED2E-0C33-42BA-9FF3-442CDA529874}" srcOrd="4" destOrd="0" presId="urn:microsoft.com/office/officeart/2005/8/layout/radial1"/>
    <dgm:cxn modelId="{6DF2BF4D-2D0D-4142-A567-274882A3ABF2}" type="presParOf" srcId="{DAFB235D-75D8-42C7-BD6C-C0FCB2944322}" destId="{559EC29E-73AF-4AEF-9DB3-0F0EB3F752ED}" srcOrd="5" destOrd="0" presId="urn:microsoft.com/office/officeart/2005/8/layout/radial1"/>
    <dgm:cxn modelId="{C58C680E-21CE-4D41-AA83-0051D6C68551}" type="presParOf" srcId="{559EC29E-73AF-4AEF-9DB3-0F0EB3F752ED}" destId="{67A92C3E-B292-4729-A433-787502E5C755}" srcOrd="0" destOrd="0" presId="urn:microsoft.com/office/officeart/2005/8/layout/radial1"/>
    <dgm:cxn modelId="{8A799363-8EFD-4AAA-9BB5-7C1F1AEA49E9}" type="presParOf" srcId="{DAFB235D-75D8-42C7-BD6C-C0FCB2944322}" destId="{288BB383-7246-4CE8-A819-7844C90619FD}" srcOrd="6" destOrd="0" presId="urn:microsoft.com/office/officeart/2005/8/layout/radial1"/>
    <dgm:cxn modelId="{81038A71-E034-41FA-AEE2-AC5945FB4539}" type="presParOf" srcId="{DAFB235D-75D8-42C7-BD6C-C0FCB2944322}" destId="{CDFE1098-9516-45A8-9673-00E6DF70C28C}" srcOrd="7" destOrd="0" presId="urn:microsoft.com/office/officeart/2005/8/layout/radial1"/>
    <dgm:cxn modelId="{11AC2845-6BBA-4936-9A3C-BBD4B0FB7E81}" type="presParOf" srcId="{CDFE1098-9516-45A8-9673-00E6DF70C28C}" destId="{438301B2-62CD-4FCE-8850-C29AB067DB3B}" srcOrd="0" destOrd="0" presId="urn:microsoft.com/office/officeart/2005/8/layout/radial1"/>
    <dgm:cxn modelId="{564FE278-8B0C-43A4-A7E4-AB73D5E11F28}" type="presParOf" srcId="{DAFB235D-75D8-42C7-BD6C-C0FCB2944322}" destId="{94C95F70-C460-4121-B2E7-ED28AD173D87}" srcOrd="8" destOrd="0" presId="urn:microsoft.com/office/officeart/2005/8/layout/radial1"/>
    <dgm:cxn modelId="{68459D26-4CCB-4FFE-868C-2536B736645F}" type="presParOf" srcId="{DAFB235D-75D8-42C7-BD6C-C0FCB2944322}" destId="{D1ADECE5-4364-4A0D-8F23-B4DED1E60B83}" srcOrd="9" destOrd="0" presId="urn:microsoft.com/office/officeart/2005/8/layout/radial1"/>
    <dgm:cxn modelId="{E4771AD0-E79E-4218-BB11-48745D3E8CA8}" type="presParOf" srcId="{D1ADECE5-4364-4A0D-8F23-B4DED1E60B83}" destId="{143C10F8-F8B1-4BEB-88D6-9659267F2AAE}" srcOrd="0" destOrd="0" presId="urn:microsoft.com/office/officeart/2005/8/layout/radial1"/>
    <dgm:cxn modelId="{B6583528-3F09-4498-9EBF-FA7619C6070F}" type="presParOf" srcId="{DAFB235D-75D8-42C7-BD6C-C0FCB2944322}" destId="{68769673-3D17-433F-8CBD-67B021881062}" srcOrd="10" destOrd="0" presId="urn:microsoft.com/office/officeart/2005/8/layout/radial1"/>
    <dgm:cxn modelId="{4BA76399-BFE3-4172-A2F0-C64CA7556A34}" type="presParOf" srcId="{DAFB235D-75D8-42C7-BD6C-C0FCB2944322}" destId="{76FAA5F5-D91B-4409-8FE0-E875CED9C117}" srcOrd="11" destOrd="0" presId="urn:microsoft.com/office/officeart/2005/8/layout/radial1"/>
    <dgm:cxn modelId="{55C2F9D8-1848-414B-B309-26CFF448B37F}" type="presParOf" srcId="{76FAA5F5-D91B-4409-8FE0-E875CED9C117}" destId="{EB625506-6D7F-470F-AE9C-6D8482C3CACA}" srcOrd="0" destOrd="0" presId="urn:microsoft.com/office/officeart/2005/8/layout/radial1"/>
    <dgm:cxn modelId="{A447913C-D67E-4105-9CD5-A30075093096}" type="presParOf" srcId="{DAFB235D-75D8-42C7-BD6C-C0FCB2944322}" destId="{9A218F68-8075-4EEE-9B0F-20864CFC3940}" srcOrd="12" destOrd="0" presId="urn:microsoft.com/office/officeart/2005/8/layout/radial1"/>
    <dgm:cxn modelId="{CFC15B67-4B73-406A-AC1F-06D071E706FD}" type="presParOf" srcId="{DAFB235D-75D8-42C7-BD6C-C0FCB2944322}" destId="{EBC8F010-07E8-4F2C-A559-55B124F1211A}" srcOrd="13" destOrd="0" presId="urn:microsoft.com/office/officeart/2005/8/layout/radial1"/>
    <dgm:cxn modelId="{BA1A16D2-3F99-471B-82DB-7E5181C5DAD4}" type="presParOf" srcId="{EBC8F010-07E8-4F2C-A559-55B124F1211A}" destId="{1205E219-D439-44E3-9AFC-11CDC70CE499}" srcOrd="0" destOrd="0" presId="urn:microsoft.com/office/officeart/2005/8/layout/radial1"/>
    <dgm:cxn modelId="{C22CC60B-4C1E-4C86-8572-BC0745820C77}" type="presParOf" srcId="{DAFB235D-75D8-42C7-BD6C-C0FCB2944322}" destId="{CAE4EA28-0886-4A8B-8E28-86D98D8BA927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49B013-364A-4720-96BC-E2FF7455ADD4}">
      <dsp:nvSpPr>
        <dsp:cNvPr id="0" name=""/>
        <dsp:cNvSpPr/>
      </dsp:nvSpPr>
      <dsp:spPr>
        <a:xfrm>
          <a:off x="804497" y="766498"/>
          <a:ext cx="505555" cy="505555"/>
        </a:xfrm>
        <a:prstGeom prst="ellipse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Presidencia Fina" pitchFamily="50" charset="0"/>
            </a:rPr>
            <a:t>SENER</a:t>
          </a:r>
        </a:p>
      </dsp:txBody>
      <dsp:txXfrm>
        <a:off x="878534" y="840535"/>
        <a:ext cx="357481" cy="357481"/>
      </dsp:txXfrm>
    </dsp:sp>
    <dsp:sp modelId="{A8F12E4F-9D1C-44EB-B5B1-8F22F374B432}">
      <dsp:nvSpPr>
        <dsp:cNvPr id="0" name=""/>
        <dsp:cNvSpPr/>
      </dsp:nvSpPr>
      <dsp:spPr>
        <a:xfrm rot="16200000">
          <a:off x="930715" y="618421"/>
          <a:ext cx="253118" cy="43035"/>
        </a:xfrm>
        <a:custGeom>
          <a:avLst/>
          <a:gdLst/>
          <a:ahLst/>
          <a:cxnLst/>
          <a:rect l="0" t="0" r="0" b="0"/>
          <a:pathLst>
            <a:path>
              <a:moveTo>
                <a:pt x="0" y="21517"/>
              </a:moveTo>
              <a:lnTo>
                <a:pt x="253118" y="21517"/>
              </a:lnTo>
            </a:path>
          </a:pathLst>
        </a:custGeom>
        <a:noFill/>
        <a:ln w="9525" cap="flat" cmpd="sng" algn="ctr">
          <a:solidFill>
            <a:schemeClr val="tx2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>
            <a:latin typeface="Presidencia Fina" pitchFamily="50" charset="0"/>
          </a:endParaRPr>
        </a:p>
      </dsp:txBody>
      <dsp:txXfrm>
        <a:off x="1050947" y="633610"/>
        <a:ext cx="12655" cy="12655"/>
      </dsp:txXfrm>
    </dsp:sp>
    <dsp:sp modelId="{5041002F-0D44-4DA0-8BD8-1F815CAB9F55}">
      <dsp:nvSpPr>
        <dsp:cNvPr id="0" name=""/>
        <dsp:cNvSpPr/>
      </dsp:nvSpPr>
      <dsp:spPr>
        <a:xfrm>
          <a:off x="804497" y="7823"/>
          <a:ext cx="505555" cy="50555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latin typeface="Presidencia Fina" pitchFamily="50" charset="0"/>
            </a:rPr>
            <a:t>IIE</a:t>
          </a:r>
        </a:p>
      </dsp:txBody>
      <dsp:txXfrm>
        <a:off x="878534" y="81860"/>
        <a:ext cx="357481" cy="357481"/>
      </dsp:txXfrm>
    </dsp:sp>
    <dsp:sp modelId="{D4C8344F-E4DF-4921-9621-0B3289A5FB58}">
      <dsp:nvSpPr>
        <dsp:cNvPr id="0" name=""/>
        <dsp:cNvSpPr/>
      </dsp:nvSpPr>
      <dsp:spPr>
        <a:xfrm rot="19285714">
          <a:off x="1227293" y="761245"/>
          <a:ext cx="253118" cy="43035"/>
        </a:xfrm>
        <a:custGeom>
          <a:avLst/>
          <a:gdLst/>
          <a:ahLst/>
          <a:cxnLst/>
          <a:rect l="0" t="0" r="0" b="0"/>
          <a:pathLst>
            <a:path>
              <a:moveTo>
                <a:pt x="0" y="21517"/>
              </a:moveTo>
              <a:lnTo>
                <a:pt x="253118" y="21517"/>
              </a:lnTo>
            </a:path>
          </a:pathLst>
        </a:custGeom>
        <a:noFill/>
        <a:ln w="9525" cap="flat" cmpd="sng" algn="ctr">
          <a:solidFill>
            <a:schemeClr val="tx2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>
            <a:latin typeface="Presidencia Fina" pitchFamily="50" charset="0"/>
          </a:endParaRPr>
        </a:p>
      </dsp:txBody>
      <dsp:txXfrm>
        <a:off x="1347524" y="776435"/>
        <a:ext cx="12655" cy="12655"/>
      </dsp:txXfrm>
    </dsp:sp>
    <dsp:sp modelId="{37D8ED2E-0C33-42BA-9FF3-442CDA529874}">
      <dsp:nvSpPr>
        <dsp:cNvPr id="0" name=""/>
        <dsp:cNvSpPr/>
      </dsp:nvSpPr>
      <dsp:spPr>
        <a:xfrm>
          <a:off x="1397652" y="293472"/>
          <a:ext cx="505555" cy="50555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latin typeface="Presidencia Fina" pitchFamily="50" charset="0"/>
            </a:rPr>
            <a:t>IMP</a:t>
          </a:r>
        </a:p>
      </dsp:txBody>
      <dsp:txXfrm>
        <a:off x="1471689" y="367509"/>
        <a:ext cx="357481" cy="357481"/>
      </dsp:txXfrm>
    </dsp:sp>
    <dsp:sp modelId="{559EC29E-73AF-4AEF-9DB3-0F0EB3F752ED}">
      <dsp:nvSpPr>
        <dsp:cNvPr id="0" name=""/>
        <dsp:cNvSpPr/>
      </dsp:nvSpPr>
      <dsp:spPr>
        <a:xfrm rot="771429">
          <a:off x="1300542" y="1082169"/>
          <a:ext cx="253118" cy="43035"/>
        </a:xfrm>
        <a:custGeom>
          <a:avLst/>
          <a:gdLst/>
          <a:ahLst/>
          <a:cxnLst/>
          <a:rect l="0" t="0" r="0" b="0"/>
          <a:pathLst>
            <a:path>
              <a:moveTo>
                <a:pt x="0" y="21517"/>
              </a:moveTo>
              <a:lnTo>
                <a:pt x="253118" y="21517"/>
              </a:lnTo>
            </a:path>
          </a:pathLst>
        </a:custGeom>
        <a:noFill/>
        <a:ln w="9525" cap="flat" cmpd="sng" algn="ctr">
          <a:solidFill>
            <a:schemeClr val="tx2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>
            <a:latin typeface="Presidencia Fina" pitchFamily="50" charset="0"/>
          </a:endParaRPr>
        </a:p>
      </dsp:txBody>
      <dsp:txXfrm>
        <a:off x="1420773" y="1097358"/>
        <a:ext cx="12655" cy="12655"/>
      </dsp:txXfrm>
    </dsp:sp>
    <dsp:sp modelId="{288BB383-7246-4CE8-A819-7844C90619FD}">
      <dsp:nvSpPr>
        <dsp:cNvPr id="0" name=""/>
        <dsp:cNvSpPr/>
      </dsp:nvSpPr>
      <dsp:spPr>
        <a:xfrm>
          <a:off x="1544150" y="935319"/>
          <a:ext cx="505555" cy="50555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latin typeface="Presidencia Fina" pitchFamily="50" charset="0"/>
            </a:rPr>
            <a:t>SAGARPA</a:t>
          </a:r>
          <a:endParaRPr lang="es-MX" sz="600" kern="1200">
            <a:latin typeface="Presidencia Fina" pitchFamily="50" charset="0"/>
          </a:endParaRPr>
        </a:p>
      </dsp:txBody>
      <dsp:txXfrm>
        <a:off x="1618187" y="1009356"/>
        <a:ext cx="357481" cy="357481"/>
      </dsp:txXfrm>
    </dsp:sp>
    <dsp:sp modelId="{CDFE1098-9516-45A8-9673-00E6DF70C28C}">
      <dsp:nvSpPr>
        <dsp:cNvPr id="0" name=""/>
        <dsp:cNvSpPr/>
      </dsp:nvSpPr>
      <dsp:spPr>
        <a:xfrm rot="3857143">
          <a:off x="1095303" y="1339529"/>
          <a:ext cx="253118" cy="43035"/>
        </a:xfrm>
        <a:custGeom>
          <a:avLst/>
          <a:gdLst/>
          <a:ahLst/>
          <a:cxnLst/>
          <a:rect l="0" t="0" r="0" b="0"/>
          <a:pathLst>
            <a:path>
              <a:moveTo>
                <a:pt x="0" y="21517"/>
              </a:moveTo>
              <a:lnTo>
                <a:pt x="253118" y="21517"/>
              </a:lnTo>
            </a:path>
          </a:pathLst>
        </a:custGeom>
        <a:noFill/>
        <a:ln w="9525" cap="flat" cmpd="sng" algn="ctr">
          <a:solidFill>
            <a:schemeClr val="tx2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>
            <a:latin typeface="Presidencia Fina" pitchFamily="50" charset="0"/>
          </a:endParaRPr>
        </a:p>
      </dsp:txBody>
      <dsp:txXfrm>
        <a:off x="1215535" y="1354719"/>
        <a:ext cx="12655" cy="12655"/>
      </dsp:txXfrm>
    </dsp:sp>
    <dsp:sp modelId="{94C95F70-C460-4121-B2E7-ED28AD173D87}">
      <dsp:nvSpPr>
        <dsp:cNvPr id="0" name=""/>
        <dsp:cNvSpPr/>
      </dsp:nvSpPr>
      <dsp:spPr>
        <a:xfrm>
          <a:off x="1133673" y="1450040"/>
          <a:ext cx="505555" cy="50555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atin typeface="Presidencia Fina" pitchFamily="50" charset="0"/>
            </a:rPr>
            <a:t>SEMARNAT</a:t>
          </a:r>
          <a:endParaRPr lang="es-MX" sz="500" kern="1200">
            <a:latin typeface="Presidencia Fina" pitchFamily="50" charset="0"/>
          </a:endParaRPr>
        </a:p>
      </dsp:txBody>
      <dsp:txXfrm>
        <a:off x="1207710" y="1524077"/>
        <a:ext cx="357481" cy="357481"/>
      </dsp:txXfrm>
    </dsp:sp>
    <dsp:sp modelId="{D1ADECE5-4364-4A0D-8F23-B4DED1E60B83}">
      <dsp:nvSpPr>
        <dsp:cNvPr id="0" name=""/>
        <dsp:cNvSpPr/>
      </dsp:nvSpPr>
      <dsp:spPr>
        <a:xfrm rot="6942857">
          <a:off x="766127" y="1339529"/>
          <a:ext cx="253118" cy="43035"/>
        </a:xfrm>
        <a:custGeom>
          <a:avLst/>
          <a:gdLst/>
          <a:ahLst/>
          <a:cxnLst/>
          <a:rect l="0" t="0" r="0" b="0"/>
          <a:pathLst>
            <a:path>
              <a:moveTo>
                <a:pt x="0" y="21517"/>
              </a:moveTo>
              <a:lnTo>
                <a:pt x="253118" y="21517"/>
              </a:lnTo>
            </a:path>
          </a:pathLst>
        </a:custGeom>
        <a:noFill/>
        <a:ln w="9525" cap="flat" cmpd="sng" algn="ctr">
          <a:solidFill>
            <a:schemeClr val="tx2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>
            <a:latin typeface="Presidencia Fina" pitchFamily="50" charset="0"/>
          </a:endParaRPr>
        </a:p>
      </dsp:txBody>
      <dsp:txXfrm rot="10800000">
        <a:off x="886358" y="1354719"/>
        <a:ext cx="12655" cy="12655"/>
      </dsp:txXfrm>
    </dsp:sp>
    <dsp:sp modelId="{68769673-3D17-433F-8CBD-67B021881062}">
      <dsp:nvSpPr>
        <dsp:cNvPr id="0" name=""/>
        <dsp:cNvSpPr/>
      </dsp:nvSpPr>
      <dsp:spPr>
        <a:xfrm>
          <a:off x="475320" y="1450040"/>
          <a:ext cx="505555" cy="50555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latin typeface="Presidencia Fina" pitchFamily="50" charset="0"/>
            </a:rPr>
            <a:t>CFE</a:t>
          </a:r>
        </a:p>
      </dsp:txBody>
      <dsp:txXfrm>
        <a:off x="549357" y="1524077"/>
        <a:ext cx="357481" cy="357481"/>
      </dsp:txXfrm>
    </dsp:sp>
    <dsp:sp modelId="{76FAA5F5-D91B-4409-8FE0-E875CED9C117}">
      <dsp:nvSpPr>
        <dsp:cNvPr id="0" name=""/>
        <dsp:cNvSpPr/>
      </dsp:nvSpPr>
      <dsp:spPr>
        <a:xfrm rot="10028571">
          <a:off x="560889" y="1082169"/>
          <a:ext cx="253118" cy="43035"/>
        </a:xfrm>
        <a:custGeom>
          <a:avLst/>
          <a:gdLst/>
          <a:ahLst/>
          <a:cxnLst/>
          <a:rect l="0" t="0" r="0" b="0"/>
          <a:pathLst>
            <a:path>
              <a:moveTo>
                <a:pt x="0" y="21517"/>
              </a:moveTo>
              <a:lnTo>
                <a:pt x="253118" y="21517"/>
              </a:lnTo>
            </a:path>
          </a:pathLst>
        </a:custGeom>
        <a:noFill/>
        <a:ln w="9525" cap="flat" cmpd="sng" algn="ctr">
          <a:solidFill>
            <a:schemeClr val="tx2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>
            <a:latin typeface="Presidencia Fina" pitchFamily="50" charset="0"/>
          </a:endParaRPr>
        </a:p>
      </dsp:txBody>
      <dsp:txXfrm rot="10800000">
        <a:off x="681120" y="1097358"/>
        <a:ext cx="12655" cy="12655"/>
      </dsp:txXfrm>
    </dsp:sp>
    <dsp:sp modelId="{9A218F68-8075-4EEE-9B0F-20864CFC3940}">
      <dsp:nvSpPr>
        <dsp:cNvPr id="0" name=""/>
        <dsp:cNvSpPr/>
      </dsp:nvSpPr>
      <dsp:spPr>
        <a:xfrm>
          <a:off x="64844" y="935319"/>
          <a:ext cx="505555" cy="50555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latin typeface="Presidencia Fina" pitchFamily="50" charset="0"/>
            </a:rPr>
            <a:t>SHCP</a:t>
          </a:r>
          <a:endParaRPr lang="es-MX" sz="500" kern="1200">
            <a:latin typeface="Presidencia Fina" pitchFamily="50" charset="0"/>
          </a:endParaRPr>
        </a:p>
      </dsp:txBody>
      <dsp:txXfrm>
        <a:off x="138881" y="1009356"/>
        <a:ext cx="357481" cy="357481"/>
      </dsp:txXfrm>
    </dsp:sp>
    <dsp:sp modelId="{EBC8F010-07E8-4F2C-A559-55B124F1211A}">
      <dsp:nvSpPr>
        <dsp:cNvPr id="0" name=""/>
        <dsp:cNvSpPr/>
      </dsp:nvSpPr>
      <dsp:spPr>
        <a:xfrm rot="13114286">
          <a:off x="634137" y="761245"/>
          <a:ext cx="253118" cy="43035"/>
        </a:xfrm>
        <a:custGeom>
          <a:avLst/>
          <a:gdLst/>
          <a:ahLst/>
          <a:cxnLst/>
          <a:rect l="0" t="0" r="0" b="0"/>
          <a:pathLst>
            <a:path>
              <a:moveTo>
                <a:pt x="0" y="21517"/>
              </a:moveTo>
              <a:lnTo>
                <a:pt x="253118" y="21517"/>
              </a:lnTo>
            </a:path>
          </a:pathLst>
        </a:custGeom>
        <a:noFill/>
        <a:ln w="9525" cap="flat" cmpd="sng" algn="ctr">
          <a:solidFill>
            <a:schemeClr val="tx2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>
            <a:latin typeface="Presidencia Fina" pitchFamily="50" charset="0"/>
          </a:endParaRPr>
        </a:p>
      </dsp:txBody>
      <dsp:txXfrm rot="10800000">
        <a:off x="754369" y="776435"/>
        <a:ext cx="12655" cy="12655"/>
      </dsp:txXfrm>
    </dsp:sp>
    <dsp:sp modelId="{CAE4EA28-0886-4A8B-8E28-86D98D8BA927}">
      <dsp:nvSpPr>
        <dsp:cNvPr id="0" name=""/>
        <dsp:cNvSpPr/>
      </dsp:nvSpPr>
      <dsp:spPr>
        <a:xfrm>
          <a:off x="211341" y="293472"/>
          <a:ext cx="505555" cy="50555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latin typeface="Presidencia Fina" pitchFamily="50" charset="0"/>
            </a:rPr>
            <a:t>CONACYT</a:t>
          </a:r>
          <a:endParaRPr lang="es-MX" sz="500" kern="1200">
            <a:latin typeface="Presidencia Fina" pitchFamily="50" charset="0"/>
          </a:endParaRPr>
        </a:p>
      </dsp:txBody>
      <dsp:txXfrm>
        <a:off x="285378" y="367509"/>
        <a:ext cx="357481" cy="357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5A14B689F2AA4F8701A8E7CD86DE54" ma:contentTypeVersion="0" ma:contentTypeDescription="Crear nuevo documento." ma:contentTypeScope="" ma:versionID="3e13c83b29c0e0099da935bfc1f473c7">
  <xsd:schema xmlns:xsd="http://www.w3.org/2001/XMLSchema" xmlns:xs="http://www.w3.org/2001/XMLSchema" xmlns:p="http://schemas.microsoft.com/office/2006/metadata/properties" xmlns:ns2="d1c2ffa5-b8bb-4714-9550-2901c283af3e" targetNamespace="http://schemas.microsoft.com/office/2006/metadata/properties" ma:root="true" ma:fieldsID="5b0b22377f5c1c40a4201d95d1651ae4" ns2:_="">
    <xsd:import namespace="d1c2ffa5-b8bb-4714-9550-2901c283af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2ffa5-b8bb-4714-9550-2901c283af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c2ffa5-b8bb-4714-9550-2901c283af3e">F44SDA2M3YZC-37-5</_dlc_DocId>
    <_dlc_DocIdUrl xmlns="d1c2ffa5-b8bb-4714-9550-2901c283af3e">
      <Url>http://colaboracion.om.energia.gob.mx/sitios/DGTIC/DGAIyC/DatosAbiertos/PlaneacionTransicion/_layouts/15/DocIdRedir.aspx?ID=F44SDA2M3YZC-37-5</Url>
      <Description>F44SDA2M3YZC-37-5</Description>
    </_dlc_DocIdUrl>
  </documentManagement>
</p:properties>
</file>

<file path=customXml/itemProps1.xml><?xml version="1.0" encoding="utf-8"?>
<ds:datastoreItem xmlns:ds="http://schemas.openxmlformats.org/officeDocument/2006/customXml" ds:itemID="{517FB870-EDA7-4C42-BB27-1695A7A3F3FF}"/>
</file>

<file path=customXml/itemProps2.xml><?xml version="1.0" encoding="utf-8"?>
<ds:datastoreItem xmlns:ds="http://schemas.openxmlformats.org/officeDocument/2006/customXml" ds:itemID="{463666F0-2BC3-4878-858E-23C67A25B8B1}"/>
</file>

<file path=customXml/itemProps3.xml><?xml version="1.0" encoding="utf-8"?>
<ds:datastoreItem xmlns:ds="http://schemas.openxmlformats.org/officeDocument/2006/customXml" ds:itemID="{66F49390-21E6-49C9-8436-C1C41C96456D}"/>
</file>

<file path=customXml/itemProps4.xml><?xml version="1.0" encoding="utf-8"?>
<ds:datastoreItem xmlns:ds="http://schemas.openxmlformats.org/officeDocument/2006/customXml" ds:itemID="{8359EB70-F12F-47ED-8CED-633FC98E1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1928</Words>
  <Characters>10605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Arturo Gomez Prado</dc:creator>
  <cp:lastModifiedBy>Jorge Arturo Gomez Prado</cp:lastModifiedBy>
  <cp:revision>3</cp:revision>
  <cp:lastPrinted>2014-03-08T00:26:00Z</cp:lastPrinted>
  <dcterms:created xsi:type="dcterms:W3CDTF">2014-03-07T20:57:00Z</dcterms:created>
  <dcterms:modified xsi:type="dcterms:W3CDTF">2014-03-08T00:38:00Z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0x010100225A14B689F2AA4F8701A8E7CD86DE54</vt:lpwstr>
  </property>
  <property fmtid="{D5CDD505-2E9C-101B-9397-08002B2CF9AE}" pid="3" name="_dlc_DocIdItemGuid">
    <vt:lpwstr>2832942a-fde6-4b39-967b-d1216e84262d</vt:lpwstr>
  </property>
</Properties>
</file>